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393DDFDB" w:rsidR="00D82798" w:rsidRDefault="00D82798" w:rsidP="00D82798">
      <w:pPr>
        <w:pStyle w:val="Header"/>
        <w:rPr>
          <w:bCs/>
          <w:noProof w:val="0"/>
          <w:sz w:val="24"/>
          <w:lang w:val="en-GB"/>
        </w:rPr>
      </w:pPr>
      <w:r>
        <w:rPr>
          <w:bCs/>
          <w:noProof w:val="0"/>
          <w:sz w:val="24"/>
          <w:lang w:val="en-GB"/>
        </w:rPr>
        <w:t>3GPP TSG RAN WG1#8</w:t>
      </w:r>
      <w:r w:rsidR="00A91C7F">
        <w:rPr>
          <w:bCs/>
          <w:noProof w:val="0"/>
          <w:sz w:val="24"/>
          <w:lang w:val="en-GB"/>
        </w:rPr>
        <w:t>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FF2D5B">
        <w:rPr>
          <w:bCs/>
          <w:noProof w:val="0"/>
          <w:sz w:val="24"/>
          <w:lang w:val="en-GB"/>
        </w:rPr>
        <w:tab/>
      </w:r>
      <w:r w:rsidR="00FF2D5B">
        <w:rPr>
          <w:bCs/>
          <w:noProof w:val="0"/>
          <w:sz w:val="24"/>
          <w:lang w:val="en-GB"/>
        </w:rPr>
        <w:tab/>
      </w:r>
      <w:r>
        <w:rPr>
          <w:bCs/>
          <w:noProof w:val="0"/>
          <w:sz w:val="24"/>
          <w:lang w:val="en-GB"/>
        </w:rPr>
        <w:tab/>
      </w:r>
      <w:r w:rsidR="00FF2D5B" w:rsidRPr="0067096D">
        <w:rPr>
          <w:bCs/>
          <w:noProof w:val="0"/>
          <w:sz w:val="24"/>
          <w:lang w:val="en-GB"/>
        </w:rPr>
        <w:t>R1-17</w:t>
      </w:r>
      <w:r w:rsidR="00E44906" w:rsidRPr="00E44906">
        <w:rPr>
          <w:bCs/>
          <w:noProof w:val="0"/>
          <w:sz w:val="24"/>
          <w:lang w:val="en-GB"/>
        </w:rPr>
        <w:t>08521</w:t>
      </w:r>
    </w:p>
    <w:p w14:paraId="67DB2173" w14:textId="0C7EEE7F" w:rsidR="00A91C7F" w:rsidRPr="00461210" w:rsidRDefault="00A91C7F" w:rsidP="00A91C7F">
      <w:pPr>
        <w:pStyle w:val="Header"/>
        <w:tabs>
          <w:tab w:val="right" w:pos="9639"/>
        </w:tabs>
        <w:rPr>
          <w:bCs/>
          <w:noProof w:val="0"/>
          <w:sz w:val="24"/>
          <w:lang w:val="en-GB"/>
        </w:rPr>
      </w:pPr>
      <w:r>
        <w:rPr>
          <w:noProof w:val="0"/>
          <w:sz w:val="24"/>
          <w:lang w:val="en-GB"/>
        </w:rPr>
        <w:t>Hangzhou, China, 15</w:t>
      </w:r>
      <w:r w:rsidRPr="00FF159C">
        <w:rPr>
          <w:noProof w:val="0"/>
          <w:sz w:val="24"/>
          <w:vertAlign w:val="superscript"/>
          <w:lang w:val="en-GB"/>
        </w:rPr>
        <w:t>th</w:t>
      </w:r>
      <w:r>
        <w:rPr>
          <w:noProof w:val="0"/>
          <w:sz w:val="24"/>
          <w:lang w:val="en-GB"/>
        </w:rPr>
        <w:t>-19</w:t>
      </w:r>
      <w:r w:rsidRPr="00FF159C">
        <w:rPr>
          <w:noProof w:val="0"/>
          <w:sz w:val="24"/>
          <w:vertAlign w:val="superscript"/>
          <w:lang w:val="en-GB"/>
        </w:rPr>
        <w:t>th</w:t>
      </w:r>
      <w:r>
        <w:rPr>
          <w:noProof w:val="0"/>
          <w:sz w:val="24"/>
          <w:lang w:val="en-GB"/>
        </w:rPr>
        <w:t xml:space="preserve"> May</w:t>
      </w:r>
      <w:r>
        <w:rPr>
          <w:bCs/>
          <w:sz w:val="24"/>
        </w:rPr>
        <w:t xml:space="preserve"> </w:t>
      </w:r>
      <w:r w:rsidRPr="00235B77">
        <w:rPr>
          <w:bCs/>
          <w:sz w:val="24"/>
        </w:rPr>
        <w:t>201</w:t>
      </w:r>
      <w:r>
        <w:rPr>
          <w:bCs/>
          <w:sz w:val="24"/>
        </w:rPr>
        <w:t>7</w:t>
      </w:r>
    </w:p>
    <w:p w14:paraId="30E02940" w14:textId="77777777" w:rsidR="00CA26CE" w:rsidRPr="0016316A" w:rsidRDefault="00CA26CE" w:rsidP="00CA26CE">
      <w:pPr>
        <w:pStyle w:val="Header"/>
        <w:rPr>
          <w:bCs/>
          <w:noProof w:val="0"/>
          <w:sz w:val="24"/>
          <w:lang w:val="en-GB" w:eastAsia="ja-JP"/>
        </w:rPr>
      </w:pPr>
    </w:p>
    <w:p w14:paraId="30E02941" w14:textId="55B4BCAC"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C4F81">
        <w:rPr>
          <w:rFonts w:cs="Arial"/>
          <w:b/>
          <w:bCs/>
          <w:sz w:val="24"/>
        </w:rPr>
        <w:t>7</w:t>
      </w:r>
      <w:r w:rsidR="002C5510">
        <w:rPr>
          <w:rFonts w:cs="Arial"/>
          <w:b/>
          <w:bCs/>
          <w:sz w:val="24"/>
        </w:rPr>
        <w:t>.1.3.3.1</w:t>
      </w:r>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2CBD9DF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F2D5B">
        <w:rPr>
          <w:rFonts w:ascii="Arial" w:hAnsi="Arial" w:cs="Arial"/>
          <w:b/>
          <w:bCs/>
          <w:sz w:val="24"/>
        </w:rPr>
        <w:t xml:space="preserve">On </w:t>
      </w:r>
      <w:r w:rsidR="002C5510">
        <w:rPr>
          <w:rFonts w:ascii="Arial" w:hAnsi="Arial" w:cs="Arial"/>
          <w:b/>
          <w:bCs/>
          <w:sz w:val="24"/>
        </w:rPr>
        <w:t>resource allocation</w:t>
      </w:r>
      <w:r w:rsidR="008359EB">
        <w:rPr>
          <w:rFonts w:ascii="Arial" w:hAnsi="Arial" w:cs="Arial"/>
          <w:b/>
          <w:bCs/>
          <w:sz w:val="24"/>
        </w:rPr>
        <w:t xml:space="preserve"> </w:t>
      </w:r>
      <w:r w:rsidR="001F6AFD">
        <w:rPr>
          <w:rFonts w:ascii="Arial" w:hAnsi="Arial" w:cs="Arial"/>
          <w:b/>
          <w:bCs/>
          <w:sz w:val="24"/>
        </w:rPr>
        <w:t xml:space="preserve">and TBS determination </w:t>
      </w:r>
      <w:r w:rsidR="00C11ADE">
        <w:rPr>
          <w:rFonts w:ascii="Arial" w:hAnsi="Arial" w:cs="Arial"/>
          <w:b/>
          <w:bCs/>
          <w:sz w:val="24"/>
        </w:rPr>
        <w:t xml:space="preserve">for PDSCH and CP-OFDM based PUSCH </w:t>
      </w:r>
      <w:r w:rsidR="008359EB">
        <w:rPr>
          <w:rFonts w:ascii="Arial" w:hAnsi="Arial" w:cs="Arial"/>
          <w:b/>
          <w:bCs/>
          <w:sz w:val="24"/>
        </w:rPr>
        <w:t>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095D35F5" w:rsidR="0078539D" w:rsidRDefault="002C5510" w:rsidP="00986146">
      <w:pPr>
        <w:spacing w:after="120"/>
        <w:jc w:val="both"/>
      </w:pPr>
      <w:r>
        <w:t xml:space="preserve">The following was agreed regarding the resource allocation </w:t>
      </w:r>
      <w:r w:rsidR="00AE61B2">
        <w:t xml:space="preserve">in frequency domain </w:t>
      </w:r>
      <w:r>
        <w:t xml:space="preserve">for PDSCH and PUSCH </w:t>
      </w:r>
      <w:r w:rsidR="00AE61B2">
        <w:t xml:space="preserve">in NR </w:t>
      </w:r>
      <w:r>
        <w:t>in case of CP-OFDM:</w:t>
      </w:r>
    </w:p>
    <w:p w14:paraId="635FA129" w14:textId="1B557565" w:rsidR="002C5510" w:rsidRPr="006B4FEC" w:rsidRDefault="002C5510" w:rsidP="002C5510">
      <w:pPr>
        <w:rPr>
          <w:rFonts w:eastAsia="MS Mincho"/>
          <w:b/>
          <w:u w:val="single"/>
          <w:lang w:val="en-US" w:eastAsia="ja-JP"/>
        </w:rPr>
      </w:pPr>
      <w:r w:rsidRPr="007C545A">
        <w:rPr>
          <w:rFonts w:eastAsia="MS Mincho" w:hint="eastAsia"/>
          <w:b/>
          <w:highlight w:val="green"/>
          <w:u w:val="single"/>
          <w:lang w:val="en-US" w:eastAsia="ja-JP"/>
        </w:rPr>
        <w:t>Agreements:</w:t>
      </w:r>
      <w:r w:rsidRPr="002C5510">
        <w:rPr>
          <w:rFonts w:eastAsia="MS Mincho"/>
          <w:b/>
          <w:lang w:val="en-US" w:eastAsia="ja-JP"/>
        </w:rPr>
        <w:t xml:space="preserve"> </w:t>
      </w:r>
      <w:r w:rsidRPr="002C5510">
        <w:rPr>
          <w:rFonts w:eastAsia="MS Mincho"/>
          <w:lang w:eastAsia="ja-JP"/>
        </w:rPr>
        <w:t>(RAN1#88 Athens)</w:t>
      </w:r>
    </w:p>
    <w:p w14:paraId="66B68745" w14:textId="77777777" w:rsidR="002C5510" w:rsidRPr="002C5510" w:rsidRDefault="002C5510" w:rsidP="002C5510">
      <w:pPr>
        <w:numPr>
          <w:ilvl w:val="0"/>
          <w:numId w:val="12"/>
        </w:numPr>
        <w:overflowPunct/>
        <w:autoSpaceDE/>
        <w:autoSpaceDN/>
        <w:adjustRightInd/>
        <w:spacing w:after="0"/>
        <w:textAlignment w:val="auto"/>
        <w:rPr>
          <w:rFonts w:eastAsia="MS Mincho"/>
          <w:lang w:val="en-US" w:eastAsia="ja-JP"/>
        </w:rPr>
      </w:pPr>
      <w:r w:rsidRPr="002C5510">
        <w:rPr>
          <w:rFonts w:eastAsia="MS Mincho"/>
          <w:lang w:val="en-US" w:eastAsia="ja-JP"/>
        </w:rPr>
        <w:t xml:space="preserve">NR supports </w:t>
      </w:r>
      <w:r w:rsidRPr="002C5510">
        <w:rPr>
          <w:rFonts w:eastAsia="MS Mincho" w:hint="eastAsia"/>
          <w:lang w:val="en-US" w:eastAsia="ja-JP"/>
        </w:rPr>
        <w:t>both contiguous and non-contiguous resource allocation for data with CP-OFDM for both UL and DL</w:t>
      </w:r>
    </w:p>
    <w:p w14:paraId="0370590E" w14:textId="77777777" w:rsidR="002C5510" w:rsidRPr="002C5510" w:rsidRDefault="002C5510" w:rsidP="002C5510">
      <w:pPr>
        <w:numPr>
          <w:ilvl w:val="1"/>
          <w:numId w:val="12"/>
        </w:numPr>
        <w:overflowPunct/>
        <w:autoSpaceDE/>
        <w:autoSpaceDN/>
        <w:adjustRightInd/>
        <w:spacing w:after="0"/>
        <w:textAlignment w:val="auto"/>
        <w:rPr>
          <w:rFonts w:eastAsia="MS Mincho"/>
          <w:lang w:val="en-US" w:eastAsia="ja-JP"/>
        </w:rPr>
      </w:pPr>
      <w:r w:rsidRPr="002C5510">
        <w:rPr>
          <w:rFonts w:eastAsia="MS Mincho" w:hint="eastAsia"/>
          <w:lang w:val="en-US" w:eastAsia="ja-JP"/>
        </w:rPr>
        <w:t>FFS detailed for both contiguous and non-contiguous resource allocation schemes</w:t>
      </w:r>
    </w:p>
    <w:p w14:paraId="6E110A0A" w14:textId="77777777" w:rsidR="00DB040B" w:rsidRDefault="00DB040B" w:rsidP="00986146">
      <w:pPr>
        <w:spacing w:after="120"/>
        <w:jc w:val="both"/>
        <w:rPr>
          <w:lang w:val="en-US"/>
        </w:rPr>
      </w:pPr>
    </w:p>
    <w:p w14:paraId="6F49200E" w14:textId="7150E441" w:rsidR="002C5510" w:rsidRDefault="00DB040B" w:rsidP="00986146">
      <w:pPr>
        <w:spacing w:after="120"/>
        <w:jc w:val="both"/>
        <w:rPr>
          <w:lang w:val="en-US"/>
        </w:rPr>
      </w:pPr>
      <w:r>
        <w:rPr>
          <w:lang w:val="en-US"/>
        </w:rPr>
        <w:t>In time domain resource allocation, in addition to the support of slot and mini-slot based transmissions, slot aggregation is also supported. The transmission duration can be dynamically indicated in the DCI.</w:t>
      </w:r>
    </w:p>
    <w:p w14:paraId="4DB0C8CE" w14:textId="77777777" w:rsidR="00DB040B" w:rsidRPr="00DD162C" w:rsidRDefault="00DB040B" w:rsidP="00DB040B">
      <w:pPr>
        <w:rPr>
          <w:rFonts w:eastAsia="MS Mincho"/>
          <w:b/>
          <w:u w:val="single"/>
          <w:lang w:val="en-US" w:eastAsia="ja-JP"/>
        </w:rPr>
      </w:pPr>
      <w:r w:rsidRPr="00D35A7B">
        <w:rPr>
          <w:rFonts w:eastAsia="MS Mincho" w:hint="eastAsia"/>
          <w:b/>
          <w:highlight w:val="green"/>
          <w:u w:val="single"/>
          <w:lang w:val="en-US" w:eastAsia="ja-JP"/>
        </w:rPr>
        <w:t>Agreements:</w:t>
      </w:r>
      <w:r w:rsidRPr="00DB040B">
        <w:rPr>
          <w:rFonts w:eastAsia="MS Mincho"/>
          <w:lang w:eastAsia="ja-JP"/>
        </w:rPr>
        <w:t xml:space="preserve"> (RAN1#86bis Lisbon)</w:t>
      </w:r>
    </w:p>
    <w:p w14:paraId="12146819" w14:textId="77777777" w:rsidR="00DB040B" w:rsidRPr="00DB040B" w:rsidRDefault="00DB040B" w:rsidP="00DB040B">
      <w:pPr>
        <w:numPr>
          <w:ilvl w:val="0"/>
          <w:numId w:val="14"/>
        </w:numPr>
        <w:overflowPunct/>
        <w:autoSpaceDE/>
        <w:autoSpaceDN/>
        <w:adjustRightInd/>
        <w:spacing w:after="0"/>
        <w:textAlignment w:val="auto"/>
        <w:rPr>
          <w:rFonts w:eastAsia="MS Mincho"/>
          <w:lang w:val="en-US" w:eastAsia="ja-JP"/>
        </w:rPr>
      </w:pPr>
      <w:r w:rsidRPr="00DB040B">
        <w:rPr>
          <w:rFonts w:eastAsia="MS Mincho" w:hint="eastAsia"/>
          <w:lang w:val="en-US" w:eastAsia="ja-JP"/>
        </w:rPr>
        <w:t>S</w:t>
      </w:r>
      <w:r w:rsidRPr="00DB040B">
        <w:rPr>
          <w:rFonts w:eastAsia="MS Mincho"/>
          <w:lang w:val="en-US" w:eastAsia="ja-JP"/>
        </w:rPr>
        <w:t xml:space="preserve">lot aggregation is </w:t>
      </w:r>
      <w:r w:rsidRPr="00DB040B">
        <w:rPr>
          <w:rFonts w:eastAsia="MS Mincho" w:hint="eastAsia"/>
          <w:lang w:val="en-US" w:eastAsia="ja-JP"/>
        </w:rPr>
        <w:t>supported</w:t>
      </w:r>
    </w:p>
    <w:p w14:paraId="33EA31B8" w14:textId="2D4B6C68" w:rsidR="00DB040B" w:rsidRDefault="00DB040B" w:rsidP="00DB040B">
      <w:pPr>
        <w:numPr>
          <w:ilvl w:val="0"/>
          <w:numId w:val="14"/>
        </w:numPr>
        <w:overflowPunct/>
        <w:autoSpaceDE/>
        <w:autoSpaceDN/>
        <w:adjustRightInd/>
        <w:spacing w:after="0"/>
        <w:textAlignment w:val="auto"/>
        <w:rPr>
          <w:rFonts w:eastAsia="MS Mincho"/>
          <w:lang w:val="en-US" w:eastAsia="ja-JP"/>
        </w:rPr>
      </w:pPr>
      <w:r w:rsidRPr="00DB040B">
        <w:rPr>
          <w:rFonts w:eastAsia="MS Mincho" w:hint="eastAsia"/>
          <w:lang w:val="en-US" w:eastAsia="ja-JP"/>
        </w:rPr>
        <w:t xml:space="preserve">Data transmission can be scheduled to </w:t>
      </w:r>
      <w:r w:rsidRPr="00DB040B">
        <w:rPr>
          <w:rFonts w:eastAsia="MS Mincho"/>
          <w:lang w:val="en-US" w:eastAsia="ja-JP"/>
        </w:rPr>
        <w:t>span</w:t>
      </w:r>
      <w:r w:rsidRPr="00DB040B">
        <w:rPr>
          <w:rFonts w:eastAsia="MS Mincho" w:hint="eastAsia"/>
          <w:lang w:val="en-US" w:eastAsia="ja-JP"/>
        </w:rPr>
        <w:t xml:space="preserve"> one or multiple slots</w:t>
      </w:r>
    </w:p>
    <w:p w14:paraId="418A8E23" w14:textId="77777777" w:rsidR="00DB040B" w:rsidRPr="00DB040B" w:rsidRDefault="00DB040B" w:rsidP="00DB040B">
      <w:pPr>
        <w:overflowPunct/>
        <w:autoSpaceDE/>
        <w:autoSpaceDN/>
        <w:adjustRightInd/>
        <w:spacing w:after="0"/>
        <w:ind w:left="360"/>
        <w:textAlignment w:val="auto"/>
        <w:rPr>
          <w:rFonts w:eastAsia="MS Mincho"/>
          <w:lang w:val="en-US" w:eastAsia="ja-JP"/>
        </w:rPr>
      </w:pPr>
    </w:p>
    <w:p w14:paraId="74AAC156" w14:textId="251838E5" w:rsidR="00DB040B" w:rsidRDefault="00DB040B" w:rsidP="00DB040B">
      <w:pPr>
        <w:rPr>
          <w:rFonts w:eastAsia="MS Mincho"/>
          <w:lang w:eastAsia="ja-JP"/>
        </w:rPr>
      </w:pPr>
      <w:r w:rsidRPr="00DF722D">
        <w:rPr>
          <w:rFonts w:eastAsia="MS Mincho" w:hint="eastAsia"/>
          <w:b/>
          <w:iCs/>
          <w:highlight w:val="green"/>
          <w:u w:val="single"/>
          <w:lang w:val="en-US" w:eastAsia="ja-JP"/>
        </w:rPr>
        <w:t>Agreements</w:t>
      </w:r>
      <w:r w:rsidRPr="00DF722D">
        <w:rPr>
          <w:rFonts w:eastAsia="MS Mincho"/>
          <w:b/>
          <w:iCs/>
          <w:highlight w:val="green"/>
          <w:u w:val="single"/>
          <w:lang w:val="en-US" w:eastAsia="ja-JP"/>
        </w:rPr>
        <w:t>:</w:t>
      </w:r>
      <w:r w:rsidRPr="00DB040B">
        <w:rPr>
          <w:rFonts w:eastAsia="MS Mincho"/>
          <w:b/>
          <w:iCs/>
          <w:lang w:val="en-US" w:eastAsia="ja-JP"/>
        </w:rPr>
        <w:t xml:space="preserve"> </w:t>
      </w:r>
      <w:r w:rsidRPr="00DB040B">
        <w:rPr>
          <w:rFonts w:eastAsia="MS Mincho"/>
          <w:lang w:eastAsia="ja-JP"/>
        </w:rPr>
        <w:t>(RAN1#88bis Spokane)</w:t>
      </w:r>
    </w:p>
    <w:p w14:paraId="736736F0" w14:textId="77777777" w:rsidR="00DB040B" w:rsidRPr="00DB040B" w:rsidRDefault="00DB040B" w:rsidP="00DB040B">
      <w:pPr>
        <w:numPr>
          <w:ilvl w:val="0"/>
          <w:numId w:val="15"/>
        </w:numPr>
        <w:overflowPunct/>
        <w:autoSpaceDE/>
        <w:autoSpaceDN/>
        <w:adjustRightInd/>
        <w:spacing w:after="0"/>
        <w:textAlignment w:val="auto"/>
        <w:rPr>
          <w:rFonts w:eastAsia="MS Mincho"/>
          <w:iCs/>
          <w:lang w:val="en-US" w:eastAsia="ja-JP"/>
        </w:rPr>
      </w:pPr>
      <w:r w:rsidRPr="00DB040B">
        <w:rPr>
          <w:rFonts w:eastAsia="MS Mincho" w:hint="eastAsia"/>
          <w:iCs/>
          <w:lang w:val="en-US" w:eastAsia="ja-JP"/>
        </w:rPr>
        <w:t xml:space="preserve">The duration of </w:t>
      </w:r>
      <w:r w:rsidRPr="00DB040B">
        <w:rPr>
          <w:rFonts w:eastAsia="MS Mincho"/>
          <w:iCs/>
          <w:lang w:val="en-US" w:eastAsia="ja-JP"/>
        </w:rPr>
        <w:t xml:space="preserve">a </w:t>
      </w:r>
      <w:r w:rsidRPr="00DB040B">
        <w:rPr>
          <w:rFonts w:eastAsia="MS Mincho" w:hint="eastAsia"/>
          <w:iCs/>
          <w:lang w:val="en-US" w:eastAsia="ja-JP"/>
        </w:rPr>
        <w:t xml:space="preserve">data transmission </w:t>
      </w:r>
      <w:r w:rsidRPr="00DB040B">
        <w:rPr>
          <w:rFonts w:eastAsia="MS Mincho"/>
          <w:iCs/>
          <w:lang w:val="en-US" w:eastAsia="ja-JP"/>
        </w:rPr>
        <w:t xml:space="preserve">in a data channel </w:t>
      </w:r>
      <w:r w:rsidRPr="00DB040B">
        <w:rPr>
          <w:rFonts w:eastAsia="MS Mincho" w:hint="eastAsia"/>
          <w:iCs/>
          <w:lang w:val="en-US" w:eastAsia="ja-JP"/>
        </w:rPr>
        <w:t xml:space="preserve">can be </w:t>
      </w:r>
      <w:r w:rsidRPr="00DB040B">
        <w:rPr>
          <w:rFonts w:eastAsia="MS Mincho"/>
          <w:iCs/>
          <w:lang w:val="en-US" w:eastAsia="ja-JP"/>
        </w:rPr>
        <w:t xml:space="preserve">semi-statically configured and/or </w:t>
      </w:r>
      <w:r w:rsidRPr="00DB040B">
        <w:rPr>
          <w:rFonts w:eastAsia="MS Mincho" w:hint="eastAsia"/>
          <w:iCs/>
          <w:lang w:val="en-US" w:eastAsia="ja-JP"/>
        </w:rPr>
        <w:t>dynamically indicated in the PDCCH scheduling the data transmission</w:t>
      </w:r>
    </w:p>
    <w:p w14:paraId="59B37997" w14:textId="77777777" w:rsidR="00DB040B" w:rsidRPr="00B17F99" w:rsidRDefault="00DB040B" w:rsidP="00DB040B">
      <w:pPr>
        <w:numPr>
          <w:ilvl w:val="1"/>
          <w:numId w:val="15"/>
        </w:numPr>
        <w:overflowPunct/>
        <w:autoSpaceDE/>
        <w:autoSpaceDN/>
        <w:adjustRightInd/>
        <w:spacing w:after="0"/>
        <w:textAlignment w:val="auto"/>
        <w:rPr>
          <w:rFonts w:eastAsia="MS Mincho"/>
          <w:iCs/>
          <w:lang w:val="en-US" w:eastAsia="ja-JP"/>
        </w:rPr>
      </w:pPr>
      <w:r w:rsidRPr="00B17F99">
        <w:rPr>
          <w:rFonts w:eastAsia="MS Mincho" w:hint="eastAsia"/>
          <w:iCs/>
          <w:lang w:val="en-US" w:eastAsia="ja-JP"/>
        </w:rPr>
        <w:t xml:space="preserve">FFS: the </w:t>
      </w:r>
      <w:r w:rsidRPr="00B17F99">
        <w:rPr>
          <w:rFonts w:eastAsia="MS Mincho"/>
          <w:iCs/>
          <w:lang w:val="en-US" w:eastAsia="ja-JP"/>
        </w:rPr>
        <w:t>starting/</w:t>
      </w:r>
      <w:r w:rsidRPr="00B17F99">
        <w:rPr>
          <w:rFonts w:eastAsia="MS Mincho" w:hint="eastAsia"/>
          <w:iCs/>
          <w:lang w:val="en-US" w:eastAsia="ja-JP"/>
        </w:rPr>
        <w:t>ending position of the data transmission</w:t>
      </w:r>
    </w:p>
    <w:p w14:paraId="554C7EFB" w14:textId="77777777" w:rsidR="00DB040B" w:rsidRPr="00B17F99" w:rsidRDefault="00DB040B" w:rsidP="00DB040B">
      <w:pPr>
        <w:numPr>
          <w:ilvl w:val="1"/>
          <w:numId w:val="15"/>
        </w:numPr>
        <w:overflowPunct/>
        <w:autoSpaceDE/>
        <w:autoSpaceDN/>
        <w:adjustRightInd/>
        <w:spacing w:after="0"/>
        <w:textAlignment w:val="auto"/>
        <w:rPr>
          <w:rFonts w:eastAsia="MS Mincho"/>
          <w:iCs/>
          <w:lang w:val="en-US" w:eastAsia="ja-JP"/>
        </w:rPr>
      </w:pPr>
      <w:r w:rsidRPr="00B17F99">
        <w:rPr>
          <w:rFonts w:eastAsia="MS Mincho"/>
          <w:iCs/>
          <w:lang w:val="en-US" w:eastAsia="ja-JP"/>
        </w:rPr>
        <w:t>FFS: the indicated duration is the number of symbols</w:t>
      </w:r>
    </w:p>
    <w:p w14:paraId="72B036F3" w14:textId="77777777" w:rsidR="00DB040B" w:rsidRPr="00B17F99" w:rsidRDefault="00DB040B" w:rsidP="00DB040B">
      <w:pPr>
        <w:numPr>
          <w:ilvl w:val="1"/>
          <w:numId w:val="15"/>
        </w:numPr>
        <w:overflowPunct/>
        <w:autoSpaceDE/>
        <w:autoSpaceDN/>
        <w:adjustRightInd/>
        <w:spacing w:after="0"/>
        <w:textAlignment w:val="auto"/>
        <w:rPr>
          <w:rFonts w:eastAsia="MS Mincho"/>
          <w:iCs/>
          <w:lang w:val="en-US" w:eastAsia="ja-JP"/>
        </w:rPr>
      </w:pPr>
      <w:r w:rsidRPr="00B17F99">
        <w:rPr>
          <w:rFonts w:eastAsia="MS Mincho"/>
          <w:iCs/>
          <w:lang w:val="en-US" w:eastAsia="ja-JP"/>
        </w:rPr>
        <w:t>FFS: the indicated duration is the number of slots</w:t>
      </w:r>
    </w:p>
    <w:p w14:paraId="6D390B53" w14:textId="77777777" w:rsidR="00DB040B" w:rsidRPr="00B17F99" w:rsidRDefault="00DB040B" w:rsidP="00DB040B">
      <w:pPr>
        <w:numPr>
          <w:ilvl w:val="1"/>
          <w:numId w:val="15"/>
        </w:numPr>
        <w:overflowPunct/>
        <w:autoSpaceDE/>
        <w:autoSpaceDN/>
        <w:adjustRightInd/>
        <w:spacing w:after="0"/>
        <w:textAlignment w:val="auto"/>
        <w:rPr>
          <w:rFonts w:eastAsia="MS Mincho"/>
          <w:iCs/>
          <w:lang w:val="en-US" w:eastAsia="ja-JP"/>
        </w:rPr>
      </w:pPr>
      <w:r w:rsidRPr="00B17F99">
        <w:rPr>
          <w:rFonts w:eastAsia="MS Mincho"/>
          <w:iCs/>
          <w:lang w:val="en-US" w:eastAsia="ja-JP"/>
        </w:rPr>
        <w:t>FFS: the indicated duration is the numbers of symbols + slots</w:t>
      </w:r>
    </w:p>
    <w:p w14:paraId="40746384" w14:textId="77777777" w:rsidR="00DB040B" w:rsidRPr="00B17F99" w:rsidRDefault="00DB040B" w:rsidP="00DB040B">
      <w:pPr>
        <w:numPr>
          <w:ilvl w:val="1"/>
          <w:numId w:val="15"/>
        </w:numPr>
        <w:overflowPunct/>
        <w:autoSpaceDE/>
        <w:autoSpaceDN/>
        <w:adjustRightInd/>
        <w:spacing w:after="0"/>
        <w:textAlignment w:val="auto"/>
        <w:rPr>
          <w:rFonts w:eastAsia="MS Mincho"/>
          <w:iCs/>
          <w:lang w:val="en-US" w:eastAsia="ja-JP"/>
        </w:rPr>
      </w:pPr>
      <w:r w:rsidRPr="00B17F99">
        <w:rPr>
          <w:rFonts w:eastAsia="MS Mincho" w:hint="eastAsia"/>
          <w:iCs/>
          <w:lang w:val="en-US" w:eastAsia="ja-JP"/>
        </w:rPr>
        <w:t>FFS: in case cross-slot scheduling is used</w:t>
      </w:r>
    </w:p>
    <w:p w14:paraId="4C1A9C3D" w14:textId="77777777" w:rsidR="00DB040B" w:rsidRDefault="00DB040B" w:rsidP="00DB040B">
      <w:pPr>
        <w:numPr>
          <w:ilvl w:val="1"/>
          <w:numId w:val="15"/>
        </w:numPr>
        <w:overflowPunct/>
        <w:autoSpaceDE/>
        <w:autoSpaceDN/>
        <w:adjustRightInd/>
        <w:spacing w:after="0"/>
        <w:textAlignment w:val="auto"/>
        <w:rPr>
          <w:rFonts w:eastAsia="MS Mincho"/>
          <w:iCs/>
          <w:lang w:val="en-US" w:eastAsia="ja-JP"/>
        </w:rPr>
      </w:pPr>
      <w:r w:rsidRPr="00B17F99">
        <w:rPr>
          <w:rFonts w:eastAsia="MS Mincho"/>
          <w:iCs/>
          <w:lang w:val="en-US" w:eastAsia="ja-JP"/>
        </w:rPr>
        <w:t>FFS: in case slot aggregation is used</w:t>
      </w:r>
    </w:p>
    <w:p w14:paraId="33E8AF78" w14:textId="77777777" w:rsidR="00DB040B" w:rsidRDefault="00DB040B" w:rsidP="00DB040B">
      <w:pPr>
        <w:numPr>
          <w:ilvl w:val="1"/>
          <w:numId w:val="15"/>
        </w:numPr>
        <w:overflowPunct/>
        <w:autoSpaceDE/>
        <w:autoSpaceDN/>
        <w:adjustRightInd/>
        <w:spacing w:after="0"/>
        <w:textAlignment w:val="auto"/>
        <w:rPr>
          <w:rFonts w:eastAsia="MS Mincho"/>
          <w:iCs/>
          <w:lang w:val="en-US" w:eastAsia="ja-JP"/>
        </w:rPr>
      </w:pPr>
      <w:r>
        <w:rPr>
          <w:rFonts w:eastAsia="MS Mincho"/>
          <w:iCs/>
          <w:lang w:val="en-US" w:eastAsia="ja-JP"/>
        </w:rPr>
        <w:t>FFS: rate-matching details</w:t>
      </w:r>
    </w:p>
    <w:p w14:paraId="00A06A3C" w14:textId="77777777" w:rsidR="00DB040B" w:rsidRPr="00B17F99" w:rsidRDefault="00DB040B" w:rsidP="00DB040B">
      <w:pPr>
        <w:numPr>
          <w:ilvl w:val="1"/>
          <w:numId w:val="15"/>
        </w:numPr>
        <w:overflowPunct/>
        <w:autoSpaceDE/>
        <w:autoSpaceDN/>
        <w:adjustRightInd/>
        <w:spacing w:after="0"/>
        <w:textAlignment w:val="auto"/>
        <w:rPr>
          <w:rFonts w:eastAsia="MS Mincho"/>
          <w:iCs/>
          <w:lang w:val="en-US" w:eastAsia="ja-JP"/>
        </w:rPr>
      </w:pPr>
      <w:r>
        <w:rPr>
          <w:rFonts w:eastAsia="MS Mincho"/>
          <w:iCs/>
          <w:lang w:val="en-US" w:eastAsia="ja-JP"/>
        </w:rPr>
        <w:t>FFS: whether/how to specify UE behavior when the duration of a data transmission in a data channel for the UE is unknown</w:t>
      </w:r>
    </w:p>
    <w:p w14:paraId="2A59AF8F" w14:textId="77777777" w:rsidR="00DB040B" w:rsidRDefault="00DB040B" w:rsidP="00986146">
      <w:pPr>
        <w:spacing w:after="120"/>
        <w:jc w:val="both"/>
        <w:rPr>
          <w:lang w:val="en-US"/>
        </w:rPr>
      </w:pPr>
    </w:p>
    <w:p w14:paraId="055833CB" w14:textId="5A1EA711" w:rsidR="00AE61B2" w:rsidRPr="002C5510" w:rsidRDefault="00AE61B2" w:rsidP="00986146">
      <w:pPr>
        <w:spacing w:after="120"/>
        <w:jc w:val="both"/>
        <w:rPr>
          <w:lang w:val="en-US"/>
        </w:rPr>
      </w:pPr>
      <w:r>
        <w:rPr>
          <w:lang w:val="en-US"/>
        </w:rPr>
        <w:t xml:space="preserve">In this contribution, we discuss </w:t>
      </w:r>
      <w:r w:rsidR="00C11ADE">
        <w:rPr>
          <w:lang w:val="en-US"/>
        </w:rPr>
        <w:t xml:space="preserve">the common aspects of </w:t>
      </w:r>
      <w:r>
        <w:rPr>
          <w:lang w:val="en-US"/>
        </w:rPr>
        <w:t>the resource allocation</w:t>
      </w:r>
      <w:r w:rsidR="00C11ADE">
        <w:rPr>
          <w:lang w:val="en-US"/>
        </w:rPr>
        <w:t xml:space="preserve"> </w:t>
      </w:r>
      <w:r w:rsidR="001F6AFD">
        <w:rPr>
          <w:lang w:val="en-US"/>
        </w:rPr>
        <w:t xml:space="preserve">and TBS determination </w:t>
      </w:r>
      <w:r w:rsidR="00C11ADE">
        <w:rPr>
          <w:lang w:val="en-US"/>
        </w:rPr>
        <w:t>for PDSCH and CP-OFDM based PUSCH</w:t>
      </w:r>
      <w:r>
        <w:rPr>
          <w:lang w:val="en-US"/>
        </w:rPr>
        <w:t xml:space="preserve"> and the corresponding signaling in both frequency and time domain. In addition, there are some special considerations for PUSCH, especially in case of DFT-S-OFDM, which are discussed </w:t>
      </w:r>
      <w:r w:rsidR="00C11ADE">
        <w:rPr>
          <w:lang w:val="en-US"/>
        </w:rPr>
        <w:t xml:space="preserve">separately </w:t>
      </w:r>
      <w:r>
        <w:rPr>
          <w:lang w:val="en-US"/>
        </w:rPr>
        <w:t>in our companion contribution [1].</w:t>
      </w:r>
    </w:p>
    <w:p w14:paraId="30E0296E" w14:textId="4CE23968" w:rsidR="004B23AD" w:rsidRDefault="008D4B8A" w:rsidP="004B23AD">
      <w:pPr>
        <w:pStyle w:val="Heading1"/>
      </w:pPr>
      <w:r>
        <w:rPr>
          <w:color w:val="000000"/>
        </w:rPr>
        <w:t>2</w:t>
      </w:r>
      <w:r w:rsidR="004B23AD" w:rsidRPr="00A51522">
        <w:rPr>
          <w:color w:val="000000"/>
        </w:rPr>
        <w:tab/>
      </w:r>
      <w:r w:rsidR="00C11ADE">
        <w:rPr>
          <w:color w:val="000000"/>
        </w:rPr>
        <w:t>R</w:t>
      </w:r>
      <w:r w:rsidR="00AE61B2">
        <w:rPr>
          <w:color w:val="000000"/>
        </w:rPr>
        <w:t>esource allocation in frequency domain</w:t>
      </w:r>
    </w:p>
    <w:p w14:paraId="5C864CA1" w14:textId="65CC0E71" w:rsidR="0055519C" w:rsidRDefault="00AE61B2" w:rsidP="003B3C64">
      <w:pPr>
        <w:spacing w:after="120"/>
        <w:jc w:val="both"/>
        <w:rPr>
          <w:rFonts w:eastAsia="MS Mincho"/>
          <w:lang w:val="en-US" w:eastAsia="ja-JP"/>
        </w:rPr>
      </w:pPr>
      <w:r>
        <w:rPr>
          <w:rFonts w:eastAsia="MS Mincho"/>
          <w:lang w:val="en-US" w:eastAsia="ja-JP"/>
        </w:rPr>
        <w:t xml:space="preserve">Both contiguous and non-contiguous resource allocation schemes have already been agreed, with the detailed design still open. </w:t>
      </w:r>
    </w:p>
    <w:p w14:paraId="1541AC74" w14:textId="77777777" w:rsidR="0068678D" w:rsidRDefault="0068678D" w:rsidP="003B3C64">
      <w:pPr>
        <w:spacing w:after="120"/>
        <w:jc w:val="both"/>
        <w:rPr>
          <w:rFonts w:eastAsia="MS Mincho"/>
          <w:lang w:val="en-US" w:eastAsia="ja-JP"/>
        </w:rPr>
      </w:pPr>
      <w:r>
        <w:rPr>
          <w:rFonts w:eastAsia="MS Mincho"/>
          <w:lang w:val="en-US" w:eastAsia="ja-JP"/>
        </w:rPr>
        <w:t>In LTE, resource allocation type 0, 1 and 2 have been defined.</w:t>
      </w:r>
    </w:p>
    <w:p w14:paraId="63D09167" w14:textId="3E3209D0" w:rsidR="0068678D" w:rsidRPr="004B3265" w:rsidRDefault="0068678D" w:rsidP="0068678D">
      <w:pPr>
        <w:pStyle w:val="ListParagraph"/>
        <w:numPr>
          <w:ilvl w:val="0"/>
          <w:numId w:val="13"/>
        </w:numPr>
        <w:spacing w:after="120"/>
        <w:jc w:val="both"/>
        <w:rPr>
          <w:rFonts w:eastAsia="MS Mincho"/>
          <w:sz w:val="20"/>
          <w:lang w:val="en-US" w:eastAsia="ja-JP"/>
        </w:rPr>
      </w:pPr>
      <w:r w:rsidRPr="004B3265">
        <w:rPr>
          <w:rFonts w:eastAsia="MS Mincho"/>
          <w:sz w:val="20"/>
          <w:lang w:val="en-US" w:eastAsia="ja-JP"/>
        </w:rPr>
        <w:t>Type 0: it includes a bitmap indicating the resource block groups (RBGs) allocated to the UE. The RBG size is pre-defined for each system bandwidth.</w:t>
      </w:r>
      <w:r w:rsidR="00DB031E" w:rsidRPr="004B3265">
        <w:rPr>
          <w:rFonts w:eastAsia="MS Mincho"/>
          <w:sz w:val="20"/>
          <w:lang w:val="en-US" w:eastAsia="ja-JP"/>
        </w:rPr>
        <w:t xml:space="preserve"> </w:t>
      </w:r>
      <w:r w:rsidR="004B3265" w:rsidRPr="004B3265">
        <w:rPr>
          <w:rFonts w:eastAsia="MS Mincho"/>
          <w:sz w:val="20"/>
          <w:lang w:val="en-US" w:eastAsia="ja-JP"/>
        </w:rPr>
        <w:t>It supports both contiguous and non-contiguous allocation, and t</w:t>
      </w:r>
      <w:r w:rsidR="00DB031E" w:rsidRPr="004B3265">
        <w:rPr>
          <w:rFonts w:eastAsia="MS Mincho"/>
          <w:sz w:val="20"/>
          <w:lang w:val="en-US" w:eastAsia="ja-JP"/>
        </w:rPr>
        <w:t xml:space="preserve">he minimum granularity is </w:t>
      </w:r>
      <w:r w:rsidR="004B3265" w:rsidRPr="004B3265">
        <w:rPr>
          <w:rFonts w:eastAsia="MS Mincho"/>
          <w:sz w:val="20"/>
          <w:lang w:val="en-US" w:eastAsia="ja-JP"/>
        </w:rPr>
        <w:t xml:space="preserve">a </w:t>
      </w:r>
      <w:r w:rsidR="00DB031E" w:rsidRPr="004B3265">
        <w:rPr>
          <w:rFonts w:eastAsia="MS Mincho"/>
          <w:sz w:val="20"/>
          <w:lang w:val="en-US" w:eastAsia="ja-JP"/>
        </w:rPr>
        <w:t>RBG.</w:t>
      </w:r>
    </w:p>
    <w:p w14:paraId="017584D7" w14:textId="4A77F4FF" w:rsidR="0068678D" w:rsidRPr="004B3265" w:rsidRDefault="0068678D" w:rsidP="0068678D">
      <w:pPr>
        <w:pStyle w:val="ListParagraph"/>
        <w:numPr>
          <w:ilvl w:val="0"/>
          <w:numId w:val="13"/>
        </w:numPr>
        <w:spacing w:after="120"/>
        <w:jc w:val="both"/>
        <w:rPr>
          <w:rFonts w:eastAsia="MS Mincho"/>
          <w:sz w:val="20"/>
          <w:lang w:val="en-US" w:eastAsia="ja-JP"/>
        </w:rPr>
      </w:pPr>
      <w:r w:rsidRPr="004B3265">
        <w:rPr>
          <w:rFonts w:eastAsia="MS Mincho"/>
          <w:sz w:val="20"/>
          <w:lang w:val="en-US" w:eastAsia="ja-JP"/>
        </w:rPr>
        <w:lastRenderedPageBreak/>
        <w:t xml:space="preserve">Type 1: </w:t>
      </w:r>
      <w:r w:rsidR="004B3265" w:rsidRPr="004B3265">
        <w:rPr>
          <w:rFonts w:eastAsia="MS Mincho"/>
          <w:sz w:val="20"/>
          <w:lang w:val="en-US" w:eastAsia="ja-JP"/>
        </w:rPr>
        <w:t>it includes a bitmap to addresss a subset of the RBGs, and is a way to support non-contiguous allocation to achieve frequency diversity. The minimum granularity is a RB.</w:t>
      </w:r>
    </w:p>
    <w:p w14:paraId="567B1EE8" w14:textId="3D0B16F3" w:rsidR="004B3265" w:rsidRPr="004B3265" w:rsidRDefault="004B3265" w:rsidP="0068678D">
      <w:pPr>
        <w:pStyle w:val="ListParagraph"/>
        <w:numPr>
          <w:ilvl w:val="0"/>
          <w:numId w:val="13"/>
        </w:numPr>
        <w:spacing w:after="120"/>
        <w:jc w:val="both"/>
        <w:rPr>
          <w:rFonts w:eastAsia="MS Mincho"/>
          <w:sz w:val="20"/>
          <w:lang w:val="en-US" w:eastAsia="ja-JP"/>
        </w:rPr>
      </w:pPr>
      <w:r w:rsidRPr="004B3265">
        <w:rPr>
          <w:rFonts w:eastAsia="MS Mincho"/>
          <w:sz w:val="20"/>
          <w:lang w:val="en-US" w:eastAsia="ja-JP"/>
        </w:rPr>
        <w:t>Type 2: it indicates the starting virtual RB index and the number of contiguous virtual RBs</w:t>
      </w:r>
      <w:r w:rsidR="0057185C">
        <w:rPr>
          <w:rFonts w:eastAsia="MS Mincho"/>
          <w:sz w:val="20"/>
          <w:lang w:val="en-US" w:eastAsia="ja-JP"/>
        </w:rPr>
        <w:t xml:space="preserve"> (VRBs)</w:t>
      </w:r>
      <w:r w:rsidRPr="004B3265">
        <w:rPr>
          <w:rFonts w:eastAsia="MS Mincho"/>
          <w:sz w:val="20"/>
          <w:lang w:val="en-US" w:eastAsia="ja-JP"/>
        </w:rPr>
        <w:t>. Depending on whether the virtual RBs are localized or distributed, it can support contiguous and non-contiguous allocation. The minimum granularity is a RB.</w:t>
      </w:r>
    </w:p>
    <w:p w14:paraId="22FFCDC6" w14:textId="060BC0E6" w:rsidR="004B3265" w:rsidRDefault="004B3265" w:rsidP="003B3C64">
      <w:pPr>
        <w:spacing w:after="120"/>
        <w:jc w:val="both"/>
        <w:rPr>
          <w:rFonts w:eastAsia="MS Mincho"/>
          <w:lang w:val="en-US" w:eastAsia="ja-JP"/>
        </w:rPr>
      </w:pPr>
      <w:r>
        <w:rPr>
          <w:rFonts w:eastAsia="MS Mincho"/>
          <w:lang w:val="en-US" w:eastAsia="ja-JP"/>
        </w:rPr>
        <w:t>Type 0 is a good scheme to support both contiguous and non-contiguous allocation</w:t>
      </w:r>
      <w:r w:rsidR="009B176D">
        <w:rPr>
          <w:rFonts w:eastAsia="MS Mincho"/>
          <w:lang w:val="en-US" w:eastAsia="ja-JP"/>
        </w:rPr>
        <w:t>, and provides good coexistence between contiguous and non-contiguous allocations. So this can be considered as a baseline approach for NR resource allocation.</w:t>
      </w:r>
    </w:p>
    <w:p w14:paraId="5BF51D56" w14:textId="6C88EBF8" w:rsidR="00595C2C" w:rsidRPr="00595C2C" w:rsidRDefault="00595C2C" w:rsidP="00595C2C">
      <w:pPr>
        <w:rPr>
          <w:i/>
        </w:rPr>
      </w:pPr>
      <w:r w:rsidRPr="00595C2C">
        <w:rPr>
          <w:b/>
          <w:i/>
        </w:rPr>
        <w:t>Proposal 1:</w:t>
      </w:r>
      <w:r w:rsidRPr="00595C2C">
        <w:rPr>
          <w:i/>
        </w:rPr>
        <w:t xml:space="preserve"> NR supports resource allocation type 0 in LTE (FFS the RBG size).</w:t>
      </w:r>
    </w:p>
    <w:p w14:paraId="6DD1C7BF" w14:textId="77777777" w:rsidR="00595C2C" w:rsidRDefault="009B176D" w:rsidP="003B3C64">
      <w:pPr>
        <w:spacing w:after="120"/>
        <w:jc w:val="both"/>
        <w:rPr>
          <w:rFonts w:eastAsia="MS Mincho"/>
          <w:lang w:val="en-US" w:eastAsia="ja-JP"/>
        </w:rPr>
      </w:pPr>
      <w:r>
        <w:rPr>
          <w:rFonts w:eastAsia="MS Mincho"/>
          <w:lang w:val="en-US" w:eastAsia="ja-JP"/>
        </w:rPr>
        <w:t>However, as the bandwidth becomes larger, the RBG size becomes larger to keep the DCI overhead manageable. This limits the granularity in resource allocation. For example, the RBG size is defined to be 4 for 20MHz bandwidth. In NR, the number of subcarriers can be up to 3300 or 6600 (275 or 550 RBs), which could mean a RBG size of between 8 and 32 RBs if we want to keep similar DCI overhead. This kind of granularity becomes too coarse to efficiently support small packet transmission. Therefore, an additional scheme would be needed with a smaller granularity, preferably with the RB granularity.</w:t>
      </w:r>
    </w:p>
    <w:p w14:paraId="36D8F2EB" w14:textId="6C2F71AA" w:rsidR="00595C2C" w:rsidRDefault="0057185C" w:rsidP="003B3C64">
      <w:pPr>
        <w:spacing w:after="120"/>
        <w:jc w:val="both"/>
        <w:rPr>
          <w:rFonts w:eastAsia="MS Mincho"/>
          <w:lang w:val="en-US" w:eastAsia="ja-JP"/>
        </w:rPr>
      </w:pPr>
      <w:r>
        <w:rPr>
          <w:rFonts w:eastAsia="MS Mincho"/>
          <w:lang w:val="en-US" w:eastAsia="ja-JP"/>
        </w:rPr>
        <w:t>Both LTE type 1 and type 2 have the granularity of RB. Each has its pros and cons:</w:t>
      </w:r>
    </w:p>
    <w:p w14:paraId="11854D95" w14:textId="7436040A" w:rsidR="0057185C" w:rsidRPr="0057185C" w:rsidRDefault="0057185C" w:rsidP="0057185C">
      <w:pPr>
        <w:pStyle w:val="ListParagraph"/>
        <w:numPr>
          <w:ilvl w:val="0"/>
          <w:numId w:val="18"/>
        </w:numPr>
        <w:spacing w:after="120"/>
        <w:jc w:val="both"/>
        <w:rPr>
          <w:rFonts w:eastAsia="MS Mincho"/>
          <w:sz w:val="20"/>
          <w:lang w:val="en-US" w:eastAsia="ja-JP"/>
        </w:rPr>
      </w:pPr>
      <w:r w:rsidRPr="0057185C">
        <w:rPr>
          <w:rFonts w:eastAsia="MS Mincho"/>
          <w:sz w:val="20"/>
          <w:lang w:val="en-US" w:eastAsia="ja-JP"/>
        </w:rPr>
        <w:t>Type 1 only supports non-contiguous allocation.</w:t>
      </w:r>
    </w:p>
    <w:p w14:paraId="5745F5A2" w14:textId="409EA741" w:rsidR="0057185C" w:rsidRDefault="0057185C" w:rsidP="0057185C">
      <w:pPr>
        <w:pStyle w:val="ListParagraph"/>
        <w:numPr>
          <w:ilvl w:val="0"/>
          <w:numId w:val="18"/>
        </w:numPr>
        <w:spacing w:after="120"/>
        <w:jc w:val="both"/>
        <w:rPr>
          <w:rFonts w:eastAsia="MS Mincho"/>
          <w:sz w:val="20"/>
          <w:lang w:val="en-US" w:eastAsia="ja-JP"/>
        </w:rPr>
      </w:pPr>
      <w:r w:rsidRPr="0057185C">
        <w:rPr>
          <w:rFonts w:eastAsia="MS Mincho"/>
          <w:sz w:val="20"/>
          <w:lang w:val="en-US" w:eastAsia="ja-JP"/>
        </w:rPr>
        <w:t>Type 1 has reasonably good compatibility with type 0, because the bitmap corresponds to a subset of the RBGs. For type 2, the localized VRB mapping would co-exist very well with type 0; however, the distributed VRB mapping does not.</w:t>
      </w:r>
    </w:p>
    <w:p w14:paraId="218348F9" w14:textId="1F456D92" w:rsidR="0057185C" w:rsidRPr="0057185C" w:rsidRDefault="0057185C" w:rsidP="0057185C">
      <w:pPr>
        <w:pStyle w:val="ListParagraph"/>
        <w:numPr>
          <w:ilvl w:val="0"/>
          <w:numId w:val="18"/>
        </w:numPr>
        <w:spacing w:after="120"/>
        <w:jc w:val="both"/>
        <w:rPr>
          <w:rFonts w:eastAsia="MS Mincho"/>
          <w:sz w:val="20"/>
          <w:lang w:val="en-US" w:eastAsia="ja-JP"/>
        </w:rPr>
      </w:pPr>
      <w:r>
        <w:rPr>
          <w:rFonts w:eastAsia="MS Mincho"/>
          <w:sz w:val="20"/>
          <w:lang w:val="en-US" w:eastAsia="ja-JP"/>
        </w:rPr>
        <w:t>Type 2 has smaller overhead in DCI.</w:t>
      </w:r>
    </w:p>
    <w:p w14:paraId="686728E6" w14:textId="7D2BEBEF" w:rsidR="00595C2C" w:rsidRDefault="0057185C" w:rsidP="003B3C64">
      <w:pPr>
        <w:spacing w:after="120"/>
        <w:jc w:val="both"/>
        <w:rPr>
          <w:rFonts w:eastAsia="MS Mincho"/>
          <w:lang w:val="en-US" w:eastAsia="ja-JP"/>
        </w:rPr>
      </w:pPr>
      <w:r>
        <w:rPr>
          <w:rFonts w:eastAsia="MS Mincho"/>
          <w:lang w:val="en-US" w:eastAsia="ja-JP"/>
        </w:rPr>
        <w:t xml:space="preserve">In addition, NR is different from LTE in the sense that there is no CRS present, so channel estimation performance needs to be considered for non-contiguous resource allocation. </w:t>
      </w:r>
      <w:r w:rsidR="006C6DF7">
        <w:rPr>
          <w:rFonts w:eastAsia="MS Mincho"/>
          <w:lang w:val="en-US" w:eastAsia="ja-JP"/>
        </w:rPr>
        <w:t>It should be investigated e.g. whether there should be a minimum contiguous number of PRBs as the basic resource unit for allocation in order to improve the channel estimation performance.</w:t>
      </w:r>
    </w:p>
    <w:p w14:paraId="190736C6" w14:textId="390AD30E" w:rsidR="00B53259" w:rsidRDefault="00B53259" w:rsidP="003B3C64">
      <w:pPr>
        <w:spacing w:after="120"/>
        <w:jc w:val="both"/>
        <w:rPr>
          <w:rFonts w:eastAsia="MS Mincho"/>
          <w:lang w:val="en-US" w:eastAsia="ja-JP"/>
        </w:rPr>
      </w:pPr>
      <w:r>
        <w:rPr>
          <w:rFonts w:eastAsia="MS Mincho"/>
          <w:lang w:val="en-US" w:eastAsia="ja-JP"/>
        </w:rPr>
        <w:t>Overall some further consideration would be necessary to decide what scheme to use, whether it is type 1 or type 2 or a new scheme.</w:t>
      </w:r>
    </w:p>
    <w:p w14:paraId="60441ACA" w14:textId="24AAA080" w:rsidR="00DB040B" w:rsidRDefault="006C6DF7" w:rsidP="00DB040B">
      <w:pPr>
        <w:rPr>
          <w:i/>
        </w:rPr>
      </w:pPr>
      <w:r w:rsidRPr="0067096D">
        <w:rPr>
          <w:b/>
          <w:i/>
        </w:rPr>
        <w:t>Proposal 2</w:t>
      </w:r>
      <w:r w:rsidR="00DB040B" w:rsidRPr="0067096D">
        <w:rPr>
          <w:b/>
          <w:i/>
        </w:rPr>
        <w:t>:</w:t>
      </w:r>
      <w:r w:rsidR="00DB040B" w:rsidRPr="0067096D">
        <w:rPr>
          <w:i/>
        </w:rPr>
        <w:t xml:space="preserve"> </w:t>
      </w:r>
      <w:r w:rsidRPr="0067096D">
        <w:rPr>
          <w:i/>
        </w:rPr>
        <w:t>An additional resource allocation scheme with a granularity smaller than type 0 should be introduced. Detailed scheme FFS.</w:t>
      </w:r>
      <w:r>
        <w:rPr>
          <w:i/>
        </w:rPr>
        <w:t xml:space="preserve"> </w:t>
      </w:r>
    </w:p>
    <w:p w14:paraId="3F881349" w14:textId="3DD95CE8" w:rsidR="00FF2D5B" w:rsidRDefault="00FF2D5B" w:rsidP="00FF2D5B">
      <w:pPr>
        <w:pStyle w:val="Heading1"/>
        <w:rPr>
          <w:color w:val="000000"/>
        </w:rPr>
      </w:pPr>
      <w:r>
        <w:rPr>
          <w:color w:val="000000"/>
        </w:rPr>
        <w:t>3</w:t>
      </w:r>
      <w:r w:rsidRPr="00A51522">
        <w:rPr>
          <w:color w:val="000000"/>
        </w:rPr>
        <w:tab/>
      </w:r>
      <w:r w:rsidR="00C11ADE">
        <w:rPr>
          <w:color w:val="000000"/>
        </w:rPr>
        <w:t>R</w:t>
      </w:r>
      <w:r w:rsidR="00AE61B2">
        <w:rPr>
          <w:color w:val="000000"/>
        </w:rPr>
        <w:t>esource allocation in time domain</w:t>
      </w:r>
    </w:p>
    <w:p w14:paraId="52624C92" w14:textId="25326CD6" w:rsidR="00A63809" w:rsidRDefault="00A63809" w:rsidP="00EB772D">
      <w:pPr>
        <w:spacing w:after="120"/>
        <w:jc w:val="both"/>
        <w:rPr>
          <w:rFonts w:eastAsia="MS Mincho"/>
          <w:lang w:val="en-US" w:eastAsia="ja-JP"/>
        </w:rPr>
      </w:pPr>
      <w:r>
        <w:rPr>
          <w:rFonts w:eastAsia="MS Mincho"/>
          <w:lang w:val="en-US" w:eastAsia="ja-JP"/>
        </w:rPr>
        <w:t>Based on the existing agreements, the duration of a data transmission can range from one OFDM symbol to a few slots</w:t>
      </w:r>
      <w:r w:rsidR="00554E06">
        <w:rPr>
          <w:rFonts w:eastAsia="MS Mincho"/>
          <w:lang w:val="en-US" w:eastAsia="ja-JP"/>
        </w:rPr>
        <w:t>.</w:t>
      </w:r>
    </w:p>
    <w:p w14:paraId="1A860963" w14:textId="728B997F" w:rsidR="00554E06" w:rsidRDefault="00554E06" w:rsidP="00EB772D">
      <w:pPr>
        <w:spacing w:after="120"/>
        <w:jc w:val="both"/>
        <w:rPr>
          <w:rFonts w:eastAsia="MS Mincho"/>
          <w:lang w:val="en-US" w:eastAsia="ja-JP"/>
        </w:rPr>
      </w:pPr>
      <w:r>
        <w:rPr>
          <w:rFonts w:eastAsia="MS Mincho"/>
          <w:lang w:val="en-US" w:eastAsia="ja-JP"/>
        </w:rPr>
        <w:t>In case of mini-slot-based scheduling, it is desirable to allow the number of OFDM symbols to be dynamically indicated, in order to adapt to different payload size.</w:t>
      </w:r>
    </w:p>
    <w:p w14:paraId="23D7697A" w14:textId="77777777" w:rsidR="00C11ADE" w:rsidRDefault="00554E06" w:rsidP="00EB772D">
      <w:pPr>
        <w:spacing w:after="120"/>
        <w:jc w:val="both"/>
        <w:rPr>
          <w:rFonts w:eastAsia="MS Mincho"/>
          <w:lang w:val="en-US" w:eastAsia="ja-JP"/>
        </w:rPr>
      </w:pPr>
      <w:r>
        <w:rPr>
          <w:rFonts w:eastAsia="MS Mincho"/>
          <w:lang w:val="en-US" w:eastAsia="ja-JP"/>
        </w:rPr>
        <w:t xml:space="preserve">In case of slot-based scheduling or slot aggregation, </w:t>
      </w:r>
      <w:r w:rsidR="00C11ADE">
        <w:rPr>
          <w:rFonts w:eastAsia="MS Mincho"/>
          <w:lang w:val="en-US" w:eastAsia="ja-JP"/>
        </w:rPr>
        <w:t>it can be beneficial to dynamically indicate the number of slots being scheduled, e.g. in the following cases:</w:t>
      </w:r>
    </w:p>
    <w:p w14:paraId="733EB656" w14:textId="7ADA69D8" w:rsidR="00554E06" w:rsidRPr="00C11ADE" w:rsidRDefault="00C11ADE" w:rsidP="00C11ADE">
      <w:pPr>
        <w:pStyle w:val="ListParagraph"/>
        <w:numPr>
          <w:ilvl w:val="0"/>
          <w:numId w:val="16"/>
        </w:numPr>
        <w:spacing w:after="120"/>
        <w:jc w:val="both"/>
        <w:rPr>
          <w:rFonts w:eastAsia="MS Mincho"/>
          <w:sz w:val="20"/>
          <w:lang w:val="en-US" w:eastAsia="ja-JP"/>
        </w:rPr>
      </w:pPr>
      <w:r w:rsidRPr="00C11ADE">
        <w:rPr>
          <w:rFonts w:eastAsia="MS Mincho"/>
          <w:sz w:val="20"/>
          <w:lang w:val="en-US" w:eastAsia="ja-JP"/>
        </w:rPr>
        <w:t>If slot aggregation is used to provide extended coverage, dynamic indication of the duration can allow more flexible and faster link adaptation.</w:t>
      </w:r>
    </w:p>
    <w:p w14:paraId="281B8BD7" w14:textId="0A491D4F" w:rsidR="00C11ADE" w:rsidRDefault="00C11ADE" w:rsidP="00C11ADE">
      <w:pPr>
        <w:pStyle w:val="ListParagraph"/>
        <w:numPr>
          <w:ilvl w:val="0"/>
          <w:numId w:val="16"/>
        </w:numPr>
        <w:spacing w:after="120"/>
        <w:jc w:val="both"/>
        <w:rPr>
          <w:rFonts w:eastAsia="MS Mincho"/>
          <w:sz w:val="20"/>
          <w:lang w:val="en-US" w:eastAsia="ja-JP"/>
        </w:rPr>
      </w:pPr>
      <w:r>
        <w:rPr>
          <w:rFonts w:eastAsia="MS Mincho"/>
          <w:sz w:val="20"/>
          <w:lang w:val="en-US" w:eastAsia="ja-JP"/>
        </w:rPr>
        <w:t>In case of dynamic TDD, the gNB can have full flexibility to determine the number of DL and UL slots based on the traffic condition.</w:t>
      </w:r>
    </w:p>
    <w:p w14:paraId="31F620AA" w14:textId="6F5C13E7" w:rsidR="00C11ADE" w:rsidRDefault="00C11ADE" w:rsidP="00C11ADE">
      <w:pPr>
        <w:pStyle w:val="ListParagraph"/>
        <w:numPr>
          <w:ilvl w:val="1"/>
          <w:numId w:val="16"/>
        </w:numPr>
        <w:spacing w:after="120"/>
        <w:jc w:val="both"/>
        <w:rPr>
          <w:rFonts w:eastAsia="MS Mincho"/>
          <w:sz w:val="20"/>
          <w:lang w:val="en-US" w:eastAsia="ja-JP"/>
        </w:rPr>
      </w:pPr>
      <w:r>
        <w:rPr>
          <w:rFonts w:eastAsia="MS Mincho"/>
          <w:sz w:val="20"/>
          <w:lang w:val="en-US" w:eastAsia="ja-JP"/>
        </w:rPr>
        <w:t>For UL, each UL slot may not necessarily have a corresponding DL slot for transmitting the UL grant, e.g. when there are less number of DL slots than UL slots, or when the timing does not fit well with the chosen frame structure. In these cases, it becomes necessary to be able to dynamically indicate the number of UL slots being scheduled.</w:t>
      </w:r>
    </w:p>
    <w:p w14:paraId="3A74886B" w14:textId="2551BE9A" w:rsidR="00C11ADE" w:rsidRPr="00C11ADE" w:rsidRDefault="00C11ADE" w:rsidP="00C11ADE">
      <w:pPr>
        <w:pStyle w:val="ListParagraph"/>
        <w:numPr>
          <w:ilvl w:val="1"/>
          <w:numId w:val="16"/>
        </w:numPr>
        <w:spacing w:after="120"/>
        <w:jc w:val="both"/>
        <w:rPr>
          <w:rFonts w:eastAsia="MS Mincho"/>
          <w:sz w:val="20"/>
          <w:lang w:val="en-US" w:eastAsia="ja-JP"/>
        </w:rPr>
      </w:pPr>
      <w:r>
        <w:rPr>
          <w:rFonts w:eastAsia="MS Mincho"/>
          <w:sz w:val="20"/>
          <w:lang w:val="en-US" w:eastAsia="ja-JP"/>
        </w:rPr>
        <w:t xml:space="preserve">For DL, the gNB of course always has the choice to send DL assignment separately for each PDSCH. Supporting slot aggregation (or multi-slot scheduling) </w:t>
      </w:r>
      <w:r w:rsidR="00022B8C">
        <w:rPr>
          <w:rFonts w:eastAsia="MS Mincho"/>
          <w:sz w:val="20"/>
          <w:lang w:val="en-US" w:eastAsia="ja-JP"/>
        </w:rPr>
        <w:t xml:space="preserve">with a single DCI </w:t>
      </w:r>
      <w:r>
        <w:rPr>
          <w:rFonts w:eastAsia="MS Mincho"/>
          <w:sz w:val="20"/>
          <w:lang w:val="en-US" w:eastAsia="ja-JP"/>
        </w:rPr>
        <w:t>has the benefit of reduced</w:t>
      </w:r>
      <w:r w:rsidR="00022B8C">
        <w:rPr>
          <w:rFonts w:eastAsia="MS Mincho"/>
          <w:sz w:val="20"/>
          <w:lang w:val="en-US" w:eastAsia="ja-JP"/>
        </w:rPr>
        <w:t xml:space="preserve"> DCI</w:t>
      </w:r>
      <w:r>
        <w:rPr>
          <w:rFonts w:eastAsia="MS Mincho"/>
          <w:sz w:val="20"/>
          <w:lang w:val="en-US" w:eastAsia="ja-JP"/>
        </w:rPr>
        <w:t xml:space="preserve"> overhead.</w:t>
      </w:r>
    </w:p>
    <w:p w14:paraId="24DE15C3" w14:textId="77777777" w:rsidR="00022B8C" w:rsidRPr="00022B8C" w:rsidRDefault="00022B8C" w:rsidP="00EB772D">
      <w:pPr>
        <w:spacing w:after="120"/>
        <w:jc w:val="both"/>
        <w:rPr>
          <w:rFonts w:eastAsia="MS Mincho"/>
          <w:lang w:val="fi-FI" w:eastAsia="ja-JP"/>
        </w:rPr>
      </w:pPr>
    </w:p>
    <w:p w14:paraId="2364486D" w14:textId="15C1ACD4" w:rsidR="00E44906" w:rsidRPr="0067096D" w:rsidRDefault="00022B8C" w:rsidP="00022B8C">
      <w:pPr>
        <w:rPr>
          <w:i/>
        </w:rPr>
      </w:pPr>
      <w:r w:rsidRPr="0067096D">
        <w:rPr>
          <w:b/>
          <w:i/>
        </w:rPr>
        <w:t>Proposal 3:</w:t>
      </w:r>
      <w:r w:rsidRPr="0067096D">
        <w:rPr>
          <w:i/>
        </w:rPr>
        <w:t xml:space="preserve"> In case of mini-slot-based scheduling, the number of OFDM symbols for a data transmission can be dynamically indicated in DCI.</w:t>
      </w:r>
    </w:p>
    <w:p w14:paraId="735280A0" w14:textId="22515226" w:rsidR="00022B8C" w:rsidRPr="006C6DF7" w:rsidRDefault="00E44906" w:rsidP="00022B8C">
      <w:pPr>
        <w:rPr>
          <w:i/>
        </w:rPr>
      </w:pPr>
      <w:r w:rsidRPr="0067096D">
        <w:rPr>
          <w:b/>
          <w:i/>
        </w:rPr>
        <w:t>Proposal 4:</w:t>
      </w:r>
      <w:r w:rsidRPr="0067096D">
        <w:rPr>
          <w:i/>
        </w:rPr>
        <w:t xml:space="preserve"> </w:t>
      </w:r>
      <w:r w:rsidR="00022B8C" w:rsidRPr="0067096D">
        <w:rPr>
          <w:i/>
        </w:rPr>
        <w:t>In case of slot-based scheduling, the number of slots for a data transmission can be dynamically indicated in DCI.</w:t>
      </w:r>
    </w:p>
    <w:p w14:paraId="7ACC2AD6" w14:textId="007454F8" w:rsidR="00A63809" w:rsidRPr="00022B8C" w:rsidRDefault="00022B8C" w:rsidP="00EB772D">
      <w:pPr>
        <w:spacing w:after="120"/>
        <w:jc w:val="both"/>
        <w:rPr>
          <w:rFonts w:eastAsia="MS Mincho"/>
          <w:lang w:eastAsia="ja-JP"/>
        </w:rPr>
      </w:pPr>
      <w:r w:rsidRPr="006C6DF7">
        <w:rPr>
          <w:rFonts w:eastAsia="MS Mincho"/>
          <w:lang w:eastAsia="ja-JP"/>
        </w:rPr>
        <w:lastRenderedPageBreak/>
        <w:t>For slot-based scheduling, there is an additional need to indicate the starting symbol and/or ending symbol of the data transmission in each slot. The overhead can become excessive if these are signalled per slot. A compromised approach would be to share the same signalling for all the slots being scheduled.</w:t>
      </w:r>
    </w:p>
    <w:p w14:paraId="3B52287C" w14:textId="77777777" w:rsidR="00A63809" w:rsidRDefault="00A63809" w:rsidP="00EB772D">
      <w:pPr>
        <w:spacing w:after="120"/>
        <w:jc w:val="both"/>
        <w:rPr>
          <w:rFonts w:eastAsia="MS Mincho"/>
          <w:lang w:val="en-US" w:eastAsia="ja-JP"/>
        </w:rPr>
      </w:pPr>
    </w:p>
    <w:p w14:paraId="1BD0C5A0" w14:textId="03BC2DF8" w:rsidR="00687488" w:rsidRDefault="00687488" w:rsidP="00687488">
      <w:pPr>
        <w:pStyle w:val="Heading1"/>
        <w:rPr>
          <w:color w:val="000000"/>
        </w:rPr>
      </w:pPr>
      <w:r>
        <w:rPr>
          <w:color w:val="000000"/>
        </w:rPr>
        <w:t>4</w:t>
      </w:r>
      <w:r w:rsidRPr="00A51522">
        <w:rPr>
          <w:color w:val="000000"/>
        </w:rPr>
        <w:tab/>
      </w:r>
      <w:r w:rsidR="00A63809">
        <w:rPr>
          <w:color w:val="000000"/>
        </w:rPr>
        <w:t>TBS determination</w:t>
      </w:r>
    </w:p>
    <w:p w14:paraId="4086C30B" w14:textId="5404BF55" w:rsidR="006C6DF7" w:rsidRDefault="00022B8C" w:rsidP="00687488">
      <w:r>
        <w:t xml:space="preserve">With the flexible transmission duration being introduced in NR, the TBS determination needs to be carefully considered. In LTE, TBS tables were carefully defined </w:t>
      </w:r>
      <w:r w:rsidR="0016381F">
        <w:t xml:space="preserve">with a 1 PRB granularity </w:t>
      </w:r>
      <w:r>
        <w:t xml:space="preserve">for different cases with some underlying assumptions on e.g. the </w:t>
      </w:r>
      <w:r w:rsidR="0016381F">
        <w:t>number of available REs</w:t>
      </w:r>
      <w:r>
        <w:t>. Given the wide range of the transmission durations in NR, it would be unrealistic or cumbersome to separately define TBS tables for each of the transmission durations</w:t>
      </w:r>
      <w:r w:rsidR="006C6DF7">
        <w:t>.</w:t>
      </w:r>
      <w:r w:rsidR="0016381F">
        <w:t xml:space="preserve"> Moreover, LTE is limited to 110 PRBs whereas in case of NR up to 275 or even 550</w:t>
      </w:r>
      <w:r w:rsidR="00E44906">
        <w:t xml:space="preserve"> </w:t>
      </w:r>
      <w:r w:rsidR="0016381F">
        <w:t>PRBs are possible</w:t>
      </w:r>
      <w:r w:rsidR="00E44906">
        <w:t>, which</w:t>
      </w:r>
      <w:r w:rsidR="0016381F">
        <w:t xml:space="preserve"> mak</w:t>
      </w:r>
      <w:r w:rsidR="00E44906">
        <w:t>es</w:t>
      </w:r>
      <w:r w:rsidR="0016381F">
        <w:t xml:space="preserve"> this exercise even more complicated.</w:t>
      </w:r>
    </w:p>
    <w:p w14:paraId="3A71988E" w14:textId="77777777" w:rsidR="006C6DF7" w:rsidRDefault="00022B8C" w:rsidP="00687488">
      <w:r>
        <w:t xml:space="preserve">Possible ways to address the issue include e.g. </w:t>
      </w:r>
    </w:p>
    <w:p w14:paraId="2F028595" w14:textId="398C3F9A" w:rsidR="006C6DF7" w:rsidRPr="006C6DF7" w:rsidRDefault="006C6DF7" w:rsidP="006C6DF7">
      <w:pPr>
        <w:pStyle w:val="ListParagraph"/>
        <w:numPr>
          <w:ilvl w:val="0"/>
          <w:numId w:val="19"/>
        </w:numPr>
        <w:rPr>
          <w:sz w:val="20"/>
        </w:rPr>
      </w:pPr>
      <w:r>
        <w:rPr>
          <w:sz w:val="20"/>
        </w:rPr>
        <w:t>Using a</w:t>
      </w:r>
      <w:r w:rsidR="00022B8C" w:rsidRPr="006C6DF7">
        <w:rPr>
          <w:sz w:val="20"/>
        </w:rPr>
        <w:t xml:space="preserve"> </w:t>
      </w:r>
      <w:r>
        <w:rPr>
          <w:sz w:val="20"/>
        </w:rPr>
        <w:t xml:space="preserve">pre-defined </w:t>
      </w:r>
      <w:r w:rsidR="00022B8C" w:rsidRPr="006C6DF7">
        <w:rPr>
          <w:sz w:val="20"/>
        </w:rPr>
        <w:t>formula</w:t>
      </w:r>
      <w:r>
        <w:rPr>
          <w:sz w:val="20"/>
        </w:rPr>
        <w:t xml:space="preserve"> or </w:t>
      </w:r>
      <w:r w:rsidR="00B54B6A" w:rsidRPr="006C6DF7">
        <w:rPr>
          <w:sz w:val="20"/>
        </w:rPr>
        <w:t>method</w:t>
      </w:r>
      <w:r w:rsidR="00022B8C" w:rsidRPr="006C6DF7">
        <w:rPr>
          <w:sz w:val="20"/>
        </w:rPr>
        <w:t xml:space="preserve"> to derive the TBS</w:t>
      </w:r>
      <w:r w:rsidR="0016381F">
        <w:rPr>
          <w:sz w:val="20"/>
        </w:rPr>
        <w:t xml:space="preserve"> </w:t>
      </w:r>
      <w:r w:rsidR="00DA4CC5">
        <w:rPr>
          <w:sz w:val="20"/>
        </w:rPr>
        <w:t xml:space="preserve">based on </w:t>
      </w:r>
      <w:r w:rsidR="0016381F">
        <w:rPr>
          <w:sz w:val="20"/>
        </w:rPr>
        <w:t>e.g. based on the number of (available) REs and the intended spectral efficiency</w:t>
      </w:r>
      <w:r w:rsidR="00BD3056" w:rsidRPr="006C6DF7">
        <w:rPr>
          <w:sz w:val="20"/>
        </w:rPr>
        <w:t xml:space="preserve">; </w:t>
      </w:r>
    </w:p>
    <w:p w14:paraId="74274835" w14:textId="44CE14C3" w:rsidR="00022B8C" w:rsidRPr="006C6DF7" w:rsidRDefault="006C6DF7" w:rsidP="006C6DF7">
      <w:pPr>
        <w:pStyle w:val="ListParagraph"/>
        <w:numPr>
          <w:ilvl w:val="0"/>
          <w:numId w:val="19"/>
        </w:numPr>
        <w:rPr>
          <w:sz w:val="20"/>
        </w:rPr>
      </w:pPr>
      <w:r>
        <w:rPr>
          <w:sz w:val="20"/>
        </w:rPr>
        <w:t>D</w:t>
      </w:r>
      <w:r w:rsidR="00BD3056" w:rsidRPr="006C6DF7">
        <w:rPr>
          <w:sz w:val="20"/>
        </w:rPr>
        <w:t>efin</w:t>
      </w:r>
      <w:r>
        <w:rPr>
          <w:sz w:val="20"/>
        </w:rPr>
        <w:t>ing</w:t>
      </w:r>
      <w:r w:rsidR="00BD3056" w:rsidRPr="006C6DF7">
        <w:rPr>
          <w:sz w:val="20"/>
        </w:rPr>
        <w:t xml:space="preserve"> reference TBS tables with a particular transmission duration </w:t>
      </w:r>
      <w:r w:rsidR="00DA4CC5">
        <w:rPr>
          <w:sz w:val="20"/>
        </w:rPr>
        <w:t xml:space="preserve">and </w:t>
      </w:r>
      <w:r w:rsidR="00E44906">
        <w:rPr>
          <w:sz w:val="20"/>
        </w:rPr>
        <w:t xml:space="preserve">a </w:t>
      </w:r>
      <w:r w:rsidR="00DA4CC5">
        <w:rPr>
          <w:sz w:val="20"/>
        </w:rPr>
        <w:t xml:space="preserve">range on the number of PRBs </w:t>
      </w:r>
      <w:r>
        <w:rPr>
          <w:sz w:val="20"/>
        </w:rPr>
        <w:t>and using</w:t>
      </w:r>
      <w:r w:rsidR="00BD3056" w:rsidRPr="006C6DF7">
        <w:rPr>
          <w:sz w:val="20"/>
        </w:rPr>
        <w:t xml:space="preserve"> </w:t>
      </w:r>
      <w:r>
        <w:rPr>
          <w:sz w:val="20"/>
        </w:rPr>
        <w:t xml:space="preserve">appropriate </w:t>
      </w:r>
      <w:r w:rsidR="00BD3056" w:rsidRPr="006C6DF7">
        <w:rPr>
          <w:sz w:val="20"/>
        </w:rPr>
        <w:t>scaling factor</w:t>
      </w:r>
      <w:r>
        <w:rPr>
          <w:sz w:val="20"/>
        </w:rPr>
        <w:t>s</w:t>
      </w:r>
      <w:r w:rsidR="00BD3056" w:rsidRPr="006C6DF7">
        <w:rPr>
          <w:sz w:val="20"/>
        </w:rPr>
        <w:t xml:space="preserve"> to derive TBS for other cases.</w:t>
      </w:r>
    </w:p>
    <w:p w14:paraId="7A565874" w14:textId="4E6E7689" w:rsidR="00BD3056" w:rsidRDefault="00BD3056" w:rsidP="00BD3056">
      <w:pPr>
        <w:pStyle w:val="Heading1"/>
        <w:rPr>
          <w:color w:val="000000"/>
        </w:rPr>
      </w:pPr>
      <w:r>
        <w:rPr>
          <w:color w:val="000000"/>
        </w:rPr>
        <w:t>5</w:t>
      </w:r>
      <w:r w:rsidRPr="00A51522">
        <w:rPr>
          <w:color w:val="000000"/>
        </w:rPr>
        <w:tab/>
      </w:r>
      <w:r>
        <w:rPr>
          <w:color w:val="000000"/>
        </w:rPr>
        <w:t>Support of slot aggregation</w:t>
      </w:r>
    </w:p>
    <w:p w14:paraId="6E02BE95" w14:textId="4B9AA040" w:rsidR="00BD3056" w:rsidRDefault="00BD3056" w:rsidP="00687488">
      <w:r>
        <w:t>Although we have agreed to support a data transmission spanning multiple slots</w:t>
      </w:r>
      <w:r w:rsidR="00E44906">
        <w:t xml:space="preserve"> using a single DCI</w:t>
      </w:r>
      <w:r>
        <w:t>, we have not defined how TB(s) would be mapped to these multiple slots.</w:t>
      </w:r>
    </w:p>
    <w:p w14:paraId="59B766A1" w14:textId="704DFFBC" w:rsidR="00BD3056" w:rsidRDefault="00BD3056" w:rsidP="00687488">
      <w:r>
        <w:t>The two basic options are:</w:t>
      </w:r>
    </w:p>
    <w:p w14:paraId="7B58C1C9" w14:textId="4AB1190E" w:rsidR="00BD3056" w:rsidRPr="00BD3056" w:rsidRDefault="00BD3056" w:rsidP="00BD3056">
      <w:pPr>
        <w:pStyle w:val="ListParagraph"/>
        <w:numPr>
          <w:ilvl w:val="0"/>
          <w:numId w:val="17"/>
        </w:numPr>
        <w:rPr>
          <w:sz w:val="20"/>
        </w:rPr>
      </w:pPr>
      <w:r w:rsidRPr="00BD3056">
        <w:rPr>
          <w:sz w:val="20"/>
        </w:rPr>
        <w:t>Option 1: one TB is mapped to multiple slots</w:t>
      </w:r>
    </w:p>
    <w:p w14:paraId="071B0FCC" w14:textId="552D0F4C" w:rsidR="00BD3056" w:rsidRPr="00BD3056" w:rsidRDefault="00BD3056" w:rsidP="00BD3056">
      <w:pPr>
        <w:pStyle w:val="ListParagraph"/>
        <w:numPr>
          <w:ilvl w:val="1"/>
          <w:numId w:val="17"/>
        </w:numPr>
        <w:rPr>
          <w:sz w:val="20"/>
        </w:rPr>
      </w:pPr>
      <w:r w:rsidRPr="00BD3056">
        <w:rPr>
          <w:sz w:val="20"/>
        </w:rPr>
        <w:t xml:space="preserve">Option 1a: the TBS is determined in the same way as </w:t>
      </w:r>
      <w:r w:rsidR="00B53259">
        <w:rPr>
          <w:sz w:val="20"/>
        </w:rPr>
        <w:t>in</w:t>
      </w:r>
      <w:r w:rsidR="00B53259" w:rsidRPr="00BD3056">
        <w:rPr>
          <w:sz w:val="20"/>
        </w:rPr>
        <w:t xml:space="preserve"> </w:t>
      </w:r>
      <w:r w:rsidRPr="00BD3056">
        <w:rPr>
          <w:sz w:val="20"/>
        </w:rPr>
        <w:t>single-slot scheduling. The main purpose is to provide extended coverage.</w:t>
      </w:r>
    </w:p>
    <w:p w14:paraId="3112B558" w14:textId="2B2BA7A9" w:rsidR="00BD3056" w:rsidRPr="00BD3056" w:rsidRDefault="00BD3056" w:rsidP="00BD3056">
      <w:pPr>
        <w:pStyle w:val="ListParagraph"/>
        <w:numPr>
          <w:ilvl w:val="1"/>
          <w:numId w:val="17"/>
        </w:numPr>
        <w:rPr>
          <w:sz w:val="20"/>
        </w:rPr>
      </w:pPr>
      <w:r w:rsidRPr="00BD3056">
        <w:rPr>
          <w:sz w:val="20"/>
        </w:rPr>
        <w:t>Option 1b: the TBS is scaled up based on the number of slots being scheduled. This would provide a larger TBS.</w:t>
      </w:r>
    </w:p>
    <w:p w14:paraId="4463A38C" w14:textId="371F58D5" w:rsidR="00BD3056" w:rsidRPr="00BD3056" w:rsidRDefault="00BD3056" w:rsidP="00BD3056">
      <w:pPr>
        <w:pStyle w:val="ListParagraph"/>
        <w:numPr>
          <w:ilvl w:val="0"/>
          <w:numId w:val="17"/>
        </w:numPr>
        <w:rPr>
          <w:sz w:val="20"/>
        </w:rPr>
      </w:pPr>
      <w:r w:rsidRPr="00BD3056">
        <w:rPr>
          <w:sz w:val="20"/>
        </w:rPr>
        <w:t>Option 2: one TB is mapped to one slot</w:t>
      </w:r>
      <w:r w:rsidR="00DA4CC5">
        <w:rPr>
          <w:sz w:val="20"/>
        </w:rPr>
        <w:t xml:space="preserve"> – i.e. multi-slot scheduling</w:t>
      </w:r>
    </w:p>
    <w:p w14:paraId="06D82D70" w14:textId="78487DF7" w:rsidR="00BD3056" w:rsidRDefault="00BD3056" w:rsidP="00BD3056">
      <w:pPr>
        <w:pStyle w:val="ListParagraph"/>
        <w:numPr>
          <w:ilvl w:val="1"/>
          <w:numId w:val="17"/>
        </w:numPr>
        <w:rPr>
          <w:sz w:val="20"/>
        </w:rPr>
      </w:pPr>
      <w:r w:rsidRPr="00BD3056">
        <w:rPr>
          <w:sz w:val="20"/>
        </w:rPr>
        <w:t>In this case, the data transmission in each slot is the same as the single-slot scheduling.</w:t>
      </w:r>
    </w:p>
    <w:p w14:paraId="10156CA3" w14:textId="525D2B65" w:rsidR="00BD3056" w:rsidRDefault="00BD3056" w:rsidP="00BD3056"/>
    <w:p w14:paraId="05FB79C9" w14:textId="3CB0B445" w:rsidR="00E44906" w:rsidRDefault="00E44906" w:rsidP="00BD3056">
      <w:r>
        <w:t xml:space="preserve">The main use cases of </w:t>
      </w:r>
      <w:r w:rsidR="00BD3056">
        <w:t>option 1a</w:t>
      </w:r>
      <w:r>
        <w:t xml:space="preserve"> include:</w:t>
      </w:r>
    </w:p>
    <w:p w14:paraId="5B56A81E" w14:textId="64266105" w:rsidR="00BD3056" w:rsidRDefault="00E44906" w:rsidP="0067096D">
      <w:pPr>
        <w:pStyle w:val="ListParagraph"/>
        <w:numPr>
          <w:ilvl w:val="0"/>
          <w:numId w:val="21"/>
        </w:numPr>
      </w:pPr>
      <w:r w:rsidRPr="0067096D">
        <w:rPr>
          <w:sz w:val="20"/>
        </w:rPr>
        <w:t>F</w:t>
      </w:r>
      <w:r w:rsidR="00BD3056" w:rsidRPr="0067096D">
        <w:rPr>
          <w:sz w:val="20"/>
        </w:rPr>
        <w:t>or coverage enhancement purpose</w:t>
      </w:r>
      <w:r>
        <w:rPr>
          <w:sz w:val="20"/>
        </w:rPr>
        <w:t>.</w:t>
      </w:r>
      <w:r w:rsidR="00BD3056" w:rsidRPr="0067096D">
        <w:rPr>
          <w:sz w:val="20"/>
        </w:rPr>
        <w:t xml:space="preserve"> </w:t>
      </w:r>
      <w:r>
        <w:rPr>
          <w:sz w:val="20"/>
        </w:rPr>
        <w:t>This</w:t>
      </w:r>
      <w:r w:rsidR="00BD3056" w:rsidRPr="0067096D">
        <w:rPr>
          <w:sz w:val="20"/>
        </w:rPr>
        <w:t xml:space="preserve"> is similar to TTI bundling or PDSCH/PUSCH repetitions in LTE</w:t>
      </w:r>
      <w:r>
        <w:rPr>
          <w:sz w:val="20"/>
        </w:rPr>
        <w:t xml:space="preserve">, and it is useful for </w:t>
      </w:r>
      <w:r w:rsidR="00BD3056" w:rsidRPr="0067096D">
        <w:rPr>
          <w:sz w:val="20"/>
        </w:rPr>
        <w:t>MTC applications wh</w:t>
      </w:r>
      <w:r>
        <w:rPr>
          <w:sz w:val="20"/>
        </w:rPr>
        <w:t>ere</w:t>
      </w:r>
      <w:r w:rsidR="00BD3056" w:rsidRPr="0067096D">
        <w:rPr>
          <w:sz w:val="20"/>
        </w:rPr>
        <w:t xml:space="preserve"> extended coverage is critical. Given that there is no intention to </w:t>
      </w:r>
      <w:r>
        <w:rPr>
          <w:sz w:val="20"/>
        </w:rPr>
        <w:t>optimize for</w:t>
      </w:r>
      <w:r w:rsidR="00BD3056" w:rsidRPr="0067096D">
        <w:rPr>
          <w:sz w:val="20"/>
        </w:rPr>
        <w:t xml:space="preserve"> mMTC </w:t>
      </w:r>
      <w:r>
        <w:rPr>
          <w:sz w:val="20"/>
        </w:rPr>
        <w:t xml:space="preserve">support </w:t>
      </w:r>
      <w:r w:rsidR="00BD3056" w:rsidRPr="0067096D">
        <w:rPr>
          <w:sz w:val="20"/>
        </w:rPr>
        <w:t xml:space="preserve">in Rel-15, </w:t>
      </w:r>
      <w:r>
        <w:rPr>
          <w:sz w:val="20"/>
        </w:rPr>
        <w:t>this would not be the main driver for option 1a</w:t>
      </w:r>
      <w:r w:rsidR="006047DF" w:rsidRPr="0067096D">
        <w:rPr>
          <w:sz w:val="20"/>
        </w:rPr>
        <w:t xml:space="preserve"> in Rel-15.</w:t>
      </w:r>
      <w:bookmarkStart w:id="0" w:name="_GoBack"/>
      <w:bookmarkEnd w:id="0"/>
    </w:p>
    <w:p w14:paraId="69ED59D3" w14:textId="5EE8FB64" w:rsidR="00E44906" w:rsidRPr="0067096D" w:rsidRDefault="00B248D0" w:rsidP="0067096D">
      <w:pPr>
        <w:pStyle w:val="ListParagraph"/>
        <w:numPr>
          <w:ilvl w:val="0"/>
          <w:numId w:val="21"/>
        </w:numPr>
      </w:pPr>
      <w:r>
        <w:rPr>
          <w:sz w:val="20"/>
        </w:rPr>
        <w:t>For improved latency and reliability in URLLC applications. For URLLC, we have already agreed to support K repetitions (with the same or different RV) for the same TB for both grant-based and grant-free UL transmissions. For grant-based UL transmission, this would be achieved by option 1a. The same approach can also be used for DL.</w:t>
      </w:r>
    </w:p>
    <w:p w14:paraId="61A5EEFD" w14:textId="111099C5" w:rsidR="00B248D0" w:rsidRDefault="00B248D0" w:rsidP="00BD3056">
      <w:r>
        <w:t>Therefore option 1a should be supported as already agreed for URLLC.</w:t>
      </w:r>
    </w:p>
    <w:p w14:paraId="349487A0" w14:textId="2B01083E" w:rsidR="006047DF" w:rsidRDefault="006047DF" w:rsidP="00BD3056">
      <w:r>
        <w:t>The main advantage of option 1b is the reduced DL/UL control overhead because only a single TB is transmitted. However it can have the following issues/implications:</w:t>
      </w:r>
    </w:p>
    <w:p w14:paraId="3347FD14" w14:textId="0CF849A4" w:rsidR="006047DF" w:rsidRDefault="006047DF" w:rsidP="006047DF">
      <w:pPr>
        <w:pStyle w:val="ListParagraph"/>
        <w:numPr>
          <w:ilvl w:val="0"/>
          <w:numId w:val="17"/>
        </w:numPr>
        <w:rPr>
          <w:sz w:val="20"/>
        </w:rPr>
      </w:pPr>
      <w:r w:rsidRPr="006047DF">
        <w:rPr>
          <w:sz w:val="20"/>
        </w:rPr>
        <w:t>It create</w:t>
      </w:r>
      <w:r>
        <w:rPr>
          <w:sz w:val="20"/>
        </w:rPr>
        <w:t>s</w:t>
      </w:r>
      <w:r w:rsidRPr="006047DF">
        <w:rPr>
          <w:sz w:val="20"/>
        </w:rPr>
        <w:t xml:space="preserve"> inefficiency in HARQ retransmission</w:t>
      </w:r>
      <w:r>
        <w:rPr>
          <w:sz w:val="20"/>
        </w:rPr>
        <w:t xml:space="preserve"> due to large TBS</w:t>
      </w:r>
      <w:r w:rsidRPr="006047DF">
        <w:rPr>
          <w:sz w:val="20"/>
        </w:rPr>
        <w:t>. CBG-based retransmission can be considered as one way to address the issue, but it requires multi-bit HARQ-ACK feedback and additiona</w:t>
      </w:r>
      <w:r w:rsidR="00DA4CC5">
        <w:rPr>
          <w:sz w:val="20"/>
        </w:rPr>
        <w:t>l</w:t>
      </w:r>
      <w:r w:rsidRPr="006047DF">
        <w:rPr>
          <w:sz w:val="20"/>
        </w:rPr>
        <w:t xml:space="preserve"> overhead in retransmission DCI, which would take away the potential advantage of reduced overhead.</w:t>
      </w:r>
    </w:p>
    <w:p w14:paraId="401041AB" w14:textId="2189A5A9" w:rsidR="006047DF" w:rsidRDefault="006047DF" w:rsidP="006047DF">
      <w:pPr>
        <w:pStyle w:val="ListParagraph"/>
        <w:numPr>
          <w:ilvl w:val="0"/>
          <w:numId w:val="17"/>
        </w:numPr>
        <w:rPr>
          <w:sz w:val="20"/>
        </w:rPr>
      </w:pPr>
      <w:r>
        <w:rPr>
          <w:sz w:val="20"/>
        </w:rPr>
        <w:t>It can complicate the HARQ process and soft buffer discussion. It requires a HARQ process to support a much larger TBS and the corresponding soft buffer size</w:t>
      </w:r>
      <w:r w:rsidR="006C6DF7">
        <w:rPr>
          <w:sz w:val="20"/>
        </w:rPr>
        <w:t xml:space="preserve"> for soft combining purpose</w:t>
      </w:r>
      <w:r>
        <w:rPr>
          <w:sz w:val="20"/>
        </w:rPr>
        <w:t>. This could mean that less number of HARQ processes can be supported when more slots are aggregated. If we support the dynamic indication of the transmission duration, it in a way conflicts with the static/semi-static number of HARQ processes that a UE supports.</w:t>
      </w:r>
    </w:p>
    <w:p w14:paraId="5F5D65F3" w14:textId="73910A0A" w:rsidR="009F151C" w:rsidRPr="006047DF" w:rsidRDefault="006C6DF7" w:rsidP="006047DF">
      <w:pPr>
        <w:pStyle w:val="ListParagraph"/>
        <w:numPr>
          <w:ilvl w:val="0"/>
          <w:numId w:val="17"/>
        </w:numPr>
        <w:rPr>
          <w:sz w:val="20"/>
        </w:rPr>
      </w:pPr>
      <w:r>
        <w:rPr>
          <w:sz w:val="20"/>
        </w:rPr>
        <w:lastRenderedPageBreak/>
        <w:t>It can also increase the latency because the retransmission would need to wait longer due to the long scheduling unit (e.g. when the transmission of another HARQ process occurs).</w:t>
      </w:r>
    </w:p>
    <w:p w14:paraId="04C7F221" w14:textId="77777777" w:rsidR="006047DF" w:rsidRDefault="006047DF" w:rsidP="00BD3056"/>
    <w:p w14:paraId="0A75557C" w14:textId="4AC25A3F" w:rsidR="00BD3056" w:rsidRDefault="006047DF" w:rsidP="00BD3056">
      <w:r>
        <w:t xml:space="preserve">Option 2, on the other hand, is a simple way to support slot aggregation. </w:t>
      </w:r>
      <w:r w:rsidR="00DA4CC5">
        <w:t xml:space="preserve">As discussed in the previous section, such type of multi-slot scheduling will be needed for dynamic TDD and can be overall used to decrease the DL control overhead. </w:t>
      </w:r>
      <w:r>
        <w:t xml:space="preserve">Other than the proper DCI design to provide the scheduling information, the data transmission in each slot is essentially the same as </w:t>
      </w:r>
      <w:r w:rsidR="00DA4CC5">
        <w:t xml:space="preserve">in case of </w:t>
      </w:r>
      <w:r>
        <w:t xml:space="preserve">single-slot scheduling. In the DCI design, </w:t>
      </w:r>
      <w:r w:rsidR="009B1335">
        <w:t xml:space="preserve">there may be some restrictions introduced to reduce the DCI overhead, causing that the scheduling info for the TB in each slot </w:t>
      </w:r>
      <w:r w:rsidR="00DA4CC5">
        <w:t xml:space="preserve">to be </w:t>
      </w:r>
      <w:r w:rsidR="009B1335">
        <w:t>not completely independent</w:t>
      </w:r>
      <w:r w:rsidR="00DA4CC5">
        <w:t xml:space="preserve"> as e.g. done for multi-subframe scheduling in LTE eLAA</w:t>
      </w:r>
      <w:r w:rsidR="009B1335">
        <w:t>.</w:t>
      </w:r>
    </w:p>
    <w:p w14:paraId="4F042E23" w14:textId="1D0CFAB5" w:rsidR="009B1335" w:rsidRPr="006C6DF7" w:rsidRDefault="009B1335" w:rsidP="009B1335">
      <w:pPr>
        <w:rPr>
          <w:i/>
        </w:rPr>
      </w:pPr>
      <w:r w:rsidRPr="0067096D">
        <w:rPr>
          <w:b/>
          <w:i/>
        </w:rPr>
        <w:t xml:space="preserve">Proposal </w:t>
      </w:r>
      <w:r w:rsidR="00E44906" w:rsidRPr="0067096D">
        <w:rPr>
          <w:b/>
          <w:i/>
        </w:rPr>
        <w:t>5</w:t>
      </w:r>
      <w:r w:rsidRPr="0067096D">
        <w:rPr>
          <w:b/>
          <w:i/>
        </w:rPr>
        <w:t>:</w:t>
      </w:r>
      <w:r w:rsidRPr="0067096D">
        <w:rPr>
          <w:i/>
        </w:rPr>
        <w:t xml:space="preserve"> In case of slot aggregation in Rel-15, </w:t>
      </w:r>
      <w:r w:rsidR="00B248D0" w:rsidRPr="0067096D">
        <w:rPr>
          <w:i/>
        </w:rPr>
        <w:t>the following two options are supported: (1)</w:t>
      </w:r>
      <w:r w:rsidR="00B248D0" w:rsidRPr="00B248D0">
        <w:t xml:space="preserve"> </w:t>
      </w:r>
      <w:r w:rsidR="00B248D0" w:rsidRPr="00B248D0">
        <w:rPr>
          <w:i/>
        </w:rPr>
        <w:t>one TB is mapped to multiple slots</w:t>
      </w:r>
      <w:r w:rsidR="00B248D0" w:rsidRPr="00B53259">
        <w:rPr>
          <w:i/>
        </w:rPr>
        <w:t xml:space="preserve">, and the TBS is determined in the same way as </w:t>
      </w:r>
      <w:r w:rsidR="00B53259">
        <w:rPr>
          <w:i/>
        </w:rPr>
        <w:t>in</w:t>
      </w:r>
      <w:r w:rsidR="00B248D0" w:rsidRPr="00B53259">
        <w:rPr>
          <w:i/>
        </w:rPr>
        <w:t xml:space="preserve"> single-slot scheduling;</w:t>
      </w:r>
      <w:r w:rsidR="00B248D0" w:rsidRPr="0067096D">
        <w:rPr>
          <w:i/>
        </w:rPr>
        <w:t xml:space="preserve"> (2) </w:t>
      </w:r>
      <w:r w:rsidRPr="0067096D">
        <w:rPr>
          <w:i/>
        </w:rPr>
        <w:t>one TB is mapped to each slot.</w:t>
      </w:r>
    </w:p>
    <w:p w14:paraId="73514129" w14:textId="77777777" w:rsidR="009B1335" w:rsidRPr="00BD3056" w:rsidRDefault="009B1335" w:rsidP="00BD3056"/>
    <w:p w14:paraId="30E029DD" w14:textId="2D8783F6" w:rsidR="0034111C" w:rsidRPr="00A51522" w:rsidRDefault="00BD3056">
      <w:pPr>
        <w:pStyle w:val="Heading1"/>
        <w:rPr>
          <w:color w:val="000000"/>
        </w:rPr>
      </w:pPr>
      <w:r>
        <w:rPr>
          <w:color w:val="000000"/>
        </w:rPr>
        <w:t>6</w:t>
      </w:r>
      <w:r w:rsidR="0034111C" w:rsidRPr="00A51522">
        <w:rPr>
          <w:color w:val="000000"/>
        </w:rPr>
        <w:tab/>
      </w:r>
      <w:r w:rsidR="00EE7FA7" w:rsidRPr="00A51522">
        <w:rPr>
          <w:color w:val="000000"/>
        </w:rPr>
        <w:t>Conclusion</w:t>
      </w:r>
    </w:p>
    <w:p w14:paraId="30E029DE" w14:textId="465CE688"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 xml:space="preserve">the </w:t>
      </w:r>
      <w:r w:rsidR="009B1335">
        <w:t>resource allocation</w:t>
      </w:r>
      <w:r w:rsidR="00342AD2" w:rsidRPr="006A1BEB">
        <w:rPr>
          <w:bCs/>
        </w:rPr>
        <w:t>:</w:t>
      </w:r>
    </w:p>
    <w:p w14:paraId="61B765BC" w14:textId="77777777" w:rsidR="00B53259" w:rsidRPr="00595C2C" w:rsidRDefault="00B53259" w:rsidP="00B53259">
      <w:pPr>
        <w:rPr>
          <w:i/>
        </w:rPr>
      </w:pPr>
      <w:r w:rsidRPr="00595C2C">
        <w:rPr>
          <w:b/>
          <w:i/>
        </w:rPr>
        <w:t>Proposal 1:</w:t>
      </w:r>
      <w:r w:rsidRPr="00595C2C">
        <w:rPr>
          <w:i/>
        </w:rPr>
        <w:t xml:space="preserve"> NR supports resource allocation type 0 in LTE (FFS the RBG size).</w:t>
      </w:r>
    </w:p>
    <w:p w14:paraId="46165EAC" w14:textId="77777777" w:rsidR="00B53259" w:rsidRDefault="00B53259" w:rsidP="00B53259">
      <w:pPr>
        <w:rPr>
          <w:i/>
        </w:rPr>
      </w:pPr>
      <w:r w:rsidRPr="00723EDE">
        <w:rPr>
          <w:b/>
          <w:i/>
        </w:rPr>
        <w:t>Proposal 2:</w:t>
      </w:r>
      <w:r w:rsidRPr="00723EDE">
        <w:rPr>
          <w:i/>
        </w:rPr>
        <w:t xml:space="preserve"> An additional resource allocation scheme with a granularity smaller than type 0 should be introduced. Detailed scheme FFS.</w:t>
      </w:r>
      <w:r>
        <w:rPr>
          <w:i/>
        </w:rPr>
        <w:t xml:space="preserve"> </w:t>
      </w:r>
    </w:p>
    <w:p w14:paraId="558B08A8" w14:textId="77777777" w:rsidR="00B53259" w:rsidRPr="00723EDE" w:rsidRDefault="00B53259" w:rsidP="00B53259">
      <w:pPr>
        <w:rPr>
          <w:i/>
        </w:rPr>
      </w:pPr>
      <w:r w:rsidRPr="00723EDE">
        <w:rPr>
          <w:b/>
          <w:i/>
        </w:rPr>
        <w:t>Proposal 3:</w:t>
      </w:r>
      <w:r w:rsidRPr="00723EDE">
        <w:rPr>
          <w:i/>
        </w:rPr>
        <w:t xml:space="preserve"> In case of mini-slot-based scheduling, the number of OFDM symbols for a data transmission can be dynamically indicated in DCI.</w:t>
      </w:r>
    </w:p>
    <w:p w14:paraId="51D7FA09" w14:textId="77777777" w:rsidR="00B53259" w:rsidRPr="006C6DF7" w:rsidRDefault="00B53259" w:rsidP="00B53259">
      <w:pPr>
        <w:rPr>
          <w:i/>
        </w:rPr>
      </w:pPr>
      <w:r w:rsidRPr="00723EDE">
        <w:rPr>
          <w:b/>
          <w:i/>
        </w:rPr>
        <w:t>Proposal 4:</w:t>
      </w:r>
      <w:r w:rsidRPr="00723EDE">
        <w:rPr>
          <w:i/>
        </w:rPr>
        <w:t xml:space="preserve"> In case of slot-based scheduling, the number of slots for a data transmission can be dynamically indicated in DCI.</w:t>
      </w:r>
    </w:p>
    <w:p w14:paraId="34EA25FA" w14:textId="53C6CE83" w:rsidR="00B53259" w:rsidRDefault="00B53259" w:rsidP="00B53259">
      <w:pPr>
        <w:rPr>
          <w:i/>
        </w:rPr>
      </w:pPr>
      <w:r w:rsidRPr="00723EDE">
        <w:rPr>
          <w:b/>
          <w:i/>
        </w:rPr>
        <w:t>Proposal 5:</w:t>
      </w:r>
      <w:r w:rsidRPr="00723EDE">
        <w:rPr>
          <w:i/>
        </w:rPr>
        <w:t xml:space="preserve"> In case of slot aggregation in Rel-15, the following two options are supported: (1)</w:t>
      </w:r>
      <w:r w:rsidRPr="00B248D0">
        <w:t xml:space="preserve"> </w:t>
      </w:r>
      <w:r w:rsidRPr="00B248D0">
        <w:rPr>
          <w:i/>
        </w:rPr>
        <w:t>one TB is mapped to multiple slots</w:t>
      </w:r>
      <w:r w:rsidRPr="00B53259">
        <w:rPr>
          <w:i/>
        </w:rPr>
        <w:t xml:space="preserve">, and the TBS is determined in the same way as </w:t>
      </w:r>
      <w:r>
        <w:rPr>
          <w:i/>
        </w:rPr>
        <w:t>in</w:t>
      </w:r>
      <w:r w:rsidRPr="00B53259">
        <w:rPr>
          <w:i/>
        </w:rPr>
        <w:t xml:space="preserve"> single-slot scheduling;</w:t>
      </w:r>
      <w:r w:rsidRPr="00723EDE">
        <w:rPr>
          <w:i/>
        </w:rPr>
        <w:t xml:space="preserve"> (2) one TB is mapped to each slot.</w:t>
      </w:r>
    </w:p>
    <w:p w14:paraId="0CED630A" w14:textId="12EF30B3" w:rsidR="00B53259" w:rsidRPr="0067096D" w:rsidRDefault="00B53259" w:rsidP="00B53259">
      <w:r>
        <w:t>In addition, we discussed the TBS determination mechanism, and recognized that an approach different from that in LTE may be necessary to avoid too much complication.</w:t>
      </w:r>
    </w:p>
    <w:p w14:paraId="30E029F2" w14:textId="669531D3" w:rsidR="0034111C" w:rsidRPr="00521425" w:rsidRDefault="0034111C">
      <w:pPr>
        <w:pStyle w:val="Heading1"/>
      </w:pPr>
      <w:r w:rsidRPr="00521425">
        <w:t>References</w:t>
      </w:r>
    </w:p>
    <w:p w14:paraId="44EA3FA8" w14:textId="392105C2" w:rsidR="006B564D" w:rsidRDefault="00B53259" w:rsidP="00B53259">
      <w:pPr>
        <w:pStyle w:val="NormalWeb"/>
        <w:numPr>
          <w:ilvl w:val="0"/>
          <w:numId w:val="1"/>
        </w:numPr>
        <w:spacing w:before="0" w:beforeAutospacing="0" w:after="120" w:afterAutospacing="0"/>
        <w:rPr>
          <w:sz w:val="20"/>
          <w:szCs w:val="22"/>
        </w:rPr>
      </w:pPr>
      <w:r w:rsidRPr="00B53259">
        <w:rPr>
          <w:sz w:val="20"/>
          <w:szCs w:val="22"/>
        </w:rPr>
        <w:t>R1-1708523</w:t>
      </w:r>
      <w:r w:rsidR="00AE61B2">
        <w:rPr>
          <w:sz w:val="20"/>
          <w:szCs w:val="22"/>
        </w:rPr>
        <w:t>, “</w:t>
      </w:r>
      <w:r w:rsidRPr="00B53259">
        <w:rPr>
          <w:sz w:val="20"/>
          <w:szCs w:val="22"/>
        </w:rPr>
        <w:t>On PUSCH resource allocation and scheduling timing in NR</w:t>
      </w:r>
      <w:r w:rsidR="00AE61B2">
        <w:rPr>
          <w:sz w:val="20"/>
          <w:szCs w:val="22"/>
        </w:rPr>
        <w:t>”, Nokia, Alcatel-Lucent Shanghai Bell, RAN1#89, May 2017.</w:t>
      </w:r>
    </w:p>
    <w:sectPr w:rsidR="006B564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F508F" w14:textId="77777777" w:rsidR="004F1CD3" w:rsidRDefault="004F1CD3">
      <w:r>
        <w:separator/>
      </w:r>
    </w:p>
  </w:endnote>
  <w:endnote w:type="continuationSeparator" w:id="0">
    <w:p w14:paraId="2D518CD6" w14:textId="77777777" w:rsidR="004F1CD3" w:rsidRDefault="004F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11E08" w14:textId="77777777" w:rsidR="004F1CD3" w:rsidRDefault="004F1CD3">
      <w:r>
        <w:separator/>
      </w:r>
    </w:p>
  </w:footnote>
  <w:footnote w:type="continuationSeparator" w:id="0">
    <w:p w14:paraId="2C02C0E2" w14:textId="77777777" w:rsidR="004F1CD3" w:rsidRDefault="004F1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6"/>
  </w:num>
  <w:num w:numId="2">
    <w:abstractNumId w:val="3"/>
  </w:num>
  <w:num w:numId="3">
    <w:abstractNumId w:val="1"/>
  </w:num>
  <w:num w:numId="4">
    <w:abstractNumId w:val="20"/>
  </w:num>
  <w:num w:numId="5">
    <w:abstractNumId w:val="18"/>
  </w:num>
  <w:num w:numId="6">
    <w:abstractNumId w:val="8"/>
  </w:num>
  <w:num w:numId="7">
    <w:abstractNumId w:val="5"/>
  </w:num>
  <w:num w:numId="8">
    <w:abstractNumId w:val="17"/>
  </w:num>
  <w:num w:numId="9">
    <w:abstractNumId w:val="11"/>
  </w:num>
  <w:num w:numId="10">
    <w:abstractNumId w:val="4"/>
  </w:num>
  <w:num w:numId="11">
    <w:abstractNumId w:val="7"/>
  </w:num>
  <w:num w:numId="12">
    <w:abstractNumId w:val="13"/>
  </w:num>
  <w:num w:numId="13">
    <w:abstractNumId w:val="14"/>
  </w:num>
  <w:num w:numId="14">
    <w:abstractNumId w:val="10"/>
  </w:num>
  <w:num w:numId="15">
    <w:abstractNumId w:val="9"/>
  </w:num>
  <w:num w:numId="16">
    <w:abstractNumId w:val="19"/>
  </w:num>
  <w:num w:numId="17">
    <w:abstractNumId w:val="0"/>
  </w:num>
  <w:num w:numId="18">
    <w:abstractNumId w:val="15"/>
  </w:num>
  <w:num w:numId="19">
    <w:abstractNumId w:val="2"/>
  </w:num>
  <w:num w:numId="20">
    <w:abstractNumId w:val="12"/>
  </w:num>
  <w:num w:numId="2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2B8C"/>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AC9"/>
    <w:rsid w:val="000B5F0A"/>
    <w:rsid w:val="000C1D5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84B"/>
    <w:rsid w:val="001204DD"/>
    <w:rsid w:val="00122839"/>
    <w:rsid w:val="001237AC"/>
    <w:rsid w:val="00124E12"/>
    <w:rsid w:val="0012673D"/>
    <w:rsid w:val="001269B8"/>
    <w:rsid w:val="00127099"/>
    <w:rsid w:val="00132830"/>
    <w:rsid w:val="00132B71"/>
    <w:rsid w:val="0013427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2308"/>
    <w:rsid w:val="0016316A"/>
    <w:rsid w:val="0016381F"/>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7AA"/>
    <w:rsid w:val="001F6AFD"/>
    <w:rsid w:val="001F7599"/>
    <w:rsid w:val="00204B22"/>
    <w:rsid w:val="00204B3A"/>
    <w:rsid w:val="0020535A"/>
    <w:rsid w:val="002055CB"/>
    <w:rsid w:val="00206955"/>
    <w:rsid w:val="0021030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1304"/>
    <w:rsid w:val="00501425"/>
    <w:rsid w:val="0050318B"/>
    <w:rsid w:val="00504311"/>
    <w:rsid w:val="0050485C"/>
    <w:rsid w:val="00504AC6"/>
    <w:rsid w:val="00504D75"/>
    <w:rsid w:val="00505D51"/>
    <w:rsid w:val="00510ABC"/>
    <w:rsid w:val="00511079"/>
    <w:rsid w:val="00511411"/>
    <w:rsid w:val="00511CDF"/>
    <w:rsid w:val="00512829"/>
    <w:rsid w:val="00513839"/>
    <w:rsid w:val="00513DEF"/>
    <w:rsid w:val="0051423C"/>
    <w:rsid w:val="00514C91"/>
    <w:rsid w:val="005153CE"/>
    <w:rsid w:val="00516241"/>
    <w:rsid w:val="00516FD9"/>
    <w:rsid w:val="0051791D"/>
    <w:rsid w:val="00520D6D"/>
    <w:rsid w:val="00521425"/>
    <w:rsid w:val="00523E75"/>
    <w:rsid w:val="005243E0"/>
    <w:rsid w:val="005256F3"/>
    <w:rsid w:val="005265A3"/>
    <w:rsid w:val="00526783"/>
    <w:rsid w:val="00527FB1"/>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5C2C"/>
    <w:rsid w:val="00596BBA"/>
    <w:rsid w:val="00597386"/>
    <w:rsid w:val="005975C4"/>
    <w:rsid w:val="00597ED8"/>
    <w:rsid w:val="005A2B20"/>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DE1"/>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283"/>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E8C"/>
    <w:rsid w:val="00665F7C"/>
    <w:rsid w:val="0066699A"/>
    <w:rsid w:val="00666DFC"/>
    <w:rsid w:val="00666EBB"/>
    <w:rsid w:val="0066779E"/>
    <w:rsid w:val="0067096D"/>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E2E"/>
    <w:rsid w:val="006915D7"/>
    <w:rsid w:val="00692814"/>
    <w:rsid w:val="006932E7"/>
    <w:rsid w:val="00693347"/>
    <w:rsid w:val="0069334C"/>
    <w:rsid w:val="00696D63"/>
    <w:rsid w:val="006A032F"/>
    <w:rsid w:val="006A146E"/>
    <w:rsid w:val="006A1BEB"/>
    <w:rsid w:val="006A41AE"/>
    <w:rsid w:val="006A4856"/>
    <w:rsid w:val="006A564B"/>
    <w:rsid w:val="006B1545"/>
    <w:rsid w:val="006B23B9"/>
    <w:rsid w:val="006B2DA7"/>
    <w:rsid w:val="006B2F4D"/>
    <w:rsid w:val="006B3682"/>
    <w:rsid w:val="006B48CB"/>
    <w:rsid w:val="006B564D"/>
    <w:rsid w:val="006C1445"/>
    <w:rsid w:val="006C3AB0"/>
    <w:rsid w:val="006C4FC1"/>
    <w:rsid w:val="006C51A5"/>
    <w:rsid w:val="006C529D"/>
    <w:rsid w:val="006C6DF7"/>
    <w:rsid w:val="006D0C12"/>
    <w:rsid w:val="006D0E6B"/>
    <w:rsid w:val="006D2146"/>
    <w:rsid w:val="006D632E"/>
    <w:rsid w:val="006E094A"/>
    <w:rsid w:val="006E12B1"/>
    <w:rsid w:val="006E13D1"/>
    <w:rsid w:val="006E4D0C"/>
    <w:rsid w:val="006E4D1B"/>
    <w:rsid w:val="006E5B78"/>
    <w:rsid w:val="006E6BA3"/>
    <w:rsid w:val="006F1116"/>
    <w:rsid w:val="006F2654"/>
    <w:rsid w:val="006F3196"/>
    <w:rsid w:val="006F3C5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2CEE"/>
    <w:rsid w:val="007962B4"/>
    <w:rsid w:val="00796F15"/>
    <w:rsid w:val="007A138F"/>
    <w:rsid w:val="007A1640"/>
    <w:rsid w:val="007A1AE4"/>
    <w:rsid w:val="007A39DF"/>
    <w:rsid w:val="007A43ED"/>
    <w:rsid w:val="007A4BDD"/>
    <w:rsid w:val="007A6CF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154EC"/>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9EB"/>
    <w:rsid w:val="00836B7A"/>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2436"/>
    <w:rsid w:val="008B3B51"/>
    <w:rsid w:val="008B4057"/>
    <w:rsid w:val="008B4145"/>
    <w:rsid w:val="008B5071"/>
    <w:rsid w:val="008B5290"/>
    <w:rsid w:val="008B6A40"/>
    <w:rsid w:val="008C2CFD"/>
    <w:rsid w:val="008C603A"/>
    <w:rsid w:val="008C71C8"/>
    <w:rsid w:val="008D167D"/>
    <w:rsid w:val="008D492A"/>
    <w:rsid w:val="008D4B58"/>
    <w:rsid w:val="008D4B8A"/>
    <w:rsid w:val="008D6541"/>
    <w:rsid w:val="008D7D7B"/>
    <w:rsid w:val="008E0F52"/>
    <w:rsid w:val="008E2316"/>
    <w:rsid w:val="008E34BE"/>
    <w:rsid w:val="008E3AA8"/>
    <w:rsid w:val="008E42CE"/>
    <w:rsid w:val="008E42F4"/>
    <w:rsid w:val="008E4333"/>
    <w:rsid w:val="008E5657"/>
    <w:rsid w:val="008E5E51"/>
    <w:rsid w:val="008F00DB"/>
    <w:rsid w:val="008F1264"/>
    <w:rsid w:val="008F47C6"/>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6306"/>
    <w:rsid w:val="00996744"/>
    <w:rsid w:val="00997CF4"/>
    <w:rsid w:val="009A1169"/>
    <w:rsid w:val="009A1AAC"/>
    <w:rsid w:val="009A2CB8"/>
    <w:rsid w:val="009A3789"/>
    <w:rsid w:val="009A45A2"/>
    <w:rsid w:val="009A6919"/>
    <w:rsid w:val="009A6AC7"/>
    <w:rsid w:val="009B0408"/>
    <w:rsid w:val="009B0843"/>
    <w:rsid w:val="009B1335"/>
    <w:rsid w:val="009B176D"/>
    <w:rsid w:val="009B1E47"/>
    <w:rsid w:val="009B2CED"/>
    <w:rsid w:val="009B335D"/>
    <w:rsid w:val="009B3C90"/>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EA8"/>
    <w:rsid w:val="009D2F0C"/>
    <w:rsid w:val="009D3578"/>
    <w:rsid w:val="009D3A5F"/>
    <w:rsid w:val="009D5193"/>
    <w:rsid w:val="009D5C32"/>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44A5"/>
    <w:rsid w:val="00A346C3"/>
    <w:rsid w:val="00A34D4A"/>
    <w:rsid w:val="00A36155"/>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3809"/>
    <w:rsid w:val="00A64278"/>
    <w:rsid w:val="00A65A70"/>
    <w:rsid w:val="00A66F36"/>
    <w:rsid w:val="00A676D9"/>
    <w:rsid w:val="00A67EFC"/>
    <w:rsid w:val="00A7031E"/>
    <w:rsid w:val="00A71140"/>
    <w:rsid w:val="00A74692"/>
    <w:rsid w:val="00A7618B"/>
    <w:rsid w:val="00A7640B"/>
    <w:rsid w:val="00A7778B"/>
    <w:rsid w:val="00A803BC"/>
    <w:rsid w:val="00A80969"/>
    <w:rsid w:val="00A8609D"/>
    <w:rsid w:val="00A86EA7"/>
    <w:rsid w:val="00A91244"/>
    <w:rsid w:val="00A91C7F"/>
    <w:rsid w:val="00A92776"/>
    <w:rsid w:val="00A93181"/>
    <w:rsid w:val="00A938E6"/>
    <w:rsid w:val="00A93CCF"/>
    <w:rsid w:val="00A95BD5"/>
    <w:rsid w:val="00A95C53"/>
    <w:rsid w:val="00A96F78"/>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69FF"/>
    <w:rsid w:val="00AD702B"/>
    <w:rsid w:val="00AD72E6"/>
    <w:rsid w:val="00AD7C95"/>
    <w:rsid w:val="00AE3DE1"/>
    <w:rsid w:val="00AE5439"/>
    <w:rsid w:val="00AE61B2"/>
    <w:rsid w:val="00AE78D1"/>
    <w:rsid w:val="00AF2D54"/>
    <w:rsid w:val="00AF3458"/>
    <w:rsid w:val="00AF3F7B"/>
    <w:rsid w:val="00AF42B4"/>
    <w:rsid w:val="00AF4B8A"/>
    <w:rsid w:val="00AF4F1B"/>
    <w:rsid w:val="00AF5EC6"/>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259"/>
    <w:rsid w:val="00B53893"/>
    <w:rsid w:val="00B548C2"/>
    <w:rsid w:val="00B54B6A"/>
    <w:rsid w:val="00B55428"/>
    <w:rsid w:val="00B570B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2FEE"/>
    <w:rsid w:val="00C84D39"/>
    <w:rsid w:val="00C85277"/>
    <w:rsid w:val="00C85D76"/>
    <w:rsid w:val="00C873AC"/>
    <w:rsid w:val="00C87DA6"/>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4932"/>
    <w:rsid w:val="00D46111"/>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1E7F"/>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415C"/>
    <w:rsid w:val="00D942CC"/>
    <w:rsid w:val="00D94D87"/>
    <w:rsid w:val="00D95B31"/>
    <w:rsid w:val="00D95DCC"/>
    <w:rsid w:val="00D962DC"/>
    <w:rsid w:val="00DA180C"/>
    <w:rsid w:val="00DA3E7B"/>
    <w:rsid w:val="00DA3F17"/>
    <w:rsid w:val="00DA418E"/>
    <w:rsid w:val="00DA451D"/>
    <w:rsid w:val="00DA4CC5"/>
    <w:rsid w:val="00DA56DB"/>
    <w:rsid w:val="00DA6452"/>
    <w:rsid w:val="00DA6FE9"/>
    <w:rsid w:val="00DA7925"/>
    <w:rsid w:val="00DB031E"/>
    <w:rsid w:val="00DB040B"/>
    <w:rsid w:val="00DB0AB8"/>
    <w:rsid w:val="00DB0D2A"/>
    <w:rsid w:val="00DB11CD"/>
    <w:rsid w:val="00DB1DAB"/>
    <w:rsid w:val="00DB39D4"/>
    <w:rsid w:val="00DB3A47"/>
    <w:rsid w:val="00DB4E06"/>
    <w:rsid w:val="00DB6A80"/>
    <w:rsid w:val="00DB6C06"/>
    <w:rsid w:val="00DB7B06"/>
    <w:rsid w:val="00DC318A"/>
    <w:rsid w:val="00DC3A9D"/>
    <w:rsid w:val="00DC6C1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3499"/>
    <w:rsid w:val="00E946A6"/>
    <w:rsid w:val="00E947E4"/>
    <w:rsid w:val="00E9480A"/>
    <w:rsid w:val="00E96A29"/>
    <w:rsid w:val="00E96B28"/>
    <w:rsid w:val="00E96FE6"/>
    <w:rsid w:val="00EA1D43"/>
    <w:rsid w:val="00EA4EC9"/>
    <w:rsid w:val="00EA568E"/>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B772D"/>
    <w:rsid w:val="00EC14B0"/>
    <w:rsid w:val="00EC204E"/>
    <w:rsid w:val="00EC249E"/>
    <w:rsid w:val="00EC2CFF"/>
    <w:rsid w:val="00EC2DFB"/>
    <w:rsid w:val="00EC5F2F"/>
    <w:rsid w:val="00EC651E"/>
    <w:rsid w:val="00EC692E"/>
    <w:rsid w:val="00EC745E"/>
    <w:rsid w:val="00EC7EAF"/>
    <w:rsid w:val="00ED27C3"/>
    <w:rsid w:val="00ED33AE"/>
    <w:rsid w:val="00ED3775"/>
    <w:rsid w:val="00ED4A6D"/>
    <w:rsid w:val="00ED6D4A"/>
    <w:rsid w:val="00ED738C"/>
    <w:rsid w:val="00ED7918"/>
    <w:rsid w:val="00ED7FD3"/>
    <w:rsid w:val="00EE0E5D"/>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31EE"/>
    <w:rsid w:val="00F05759"/>
    <w:rsid w:val="00F064EC"/>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403DB"/>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C7951"/>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421"/>
    <w:rsid w:val="00FE5624"/>
    <w:rsid w:val="00FE5D2C"/>
    <w:rsid w:val="00FE5FBF"/>
    <w:rsid w:val="00FE6C25"/>
    <w:rsid w:val="00FF033A"/>
    <w:rsid w:val="00FF0964"/>
    <w:rsid w:val="00FF16F2"/>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SP-5AIRPNAIUNRU-1830940522-784</_dlc_DocId>
    <_dlc_DocIdUrl xmlns="71c5aaf6-e6ce-465b-b873-5148d2a4c105">
      <Url>https://nokia.sharepoint.com/sites/c5g/5gradio/_layouts/15/DocIdRedir.aspx?ID=SP-5AIRPNAIUNRU-1830940522-784</Url>
      <Description>SP-5AIRPNAIUNRU-1830940522-784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BE9E-07F1-4910-91EB-260F57FEB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55AB62CC-CF6C-4B2B-BD5E-84836485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4</Pages>
  <Words>1829</Words>
  <Characters>10431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5</cp:revision>
  <cp:lastPrinted>2016-06-20T11:35:00Z</cp:lastPrinted>
  <dcterms:created xsi:type="dcterms:W3CDTF">2017-05-04T18:47:00Z</dcterms:created>
  <dcterms:modified xsi:type="dcterms:W3CDTF">2017-05-05T21:54:00Z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e8c1da35-48d2-4581-9c0d-87b1d8da3755</vt:lpwstr>
  </property>
</Properties>
</file>